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CD16" w14:textId="4309D0E9" w:rsidR="009B0C44" w:rsidRDefault="009B0C44">
      <w:r>
        <w:rPr>
          <w:noProof/>
        </w:rPr>
        <w:drawing>
          <wp:anchor distT="0" distB="0" distL="114300" distR="114300" simplePos="0" relativeHeight="251658240" behindDoc="0" locked="0" layoutInCell="1" allowOverlap="1" wp14:anchorId="5B7D6E28" wp14:editId="55098E3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45235" cy="1509395"/>
            <wp:effectExtent l="0" t="0" r="0" b="0"/>
            <wp:wrapSquare wrapText="bothSides"/>
            <wp:docPr id="1" name="Picture 1" descr="A picture containing text, vector graphics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, silhouet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5EF97" w14:textId="25EAFD72" w:rsidR="00BF0C5B" w:rsidRDefault="00BF0C5B"/>
    <w:p w14:paraId="3C0E53FE" w14:textId="4E44FFB8" w:rsidR="00BF0C5B" w:rsidRDefault="00BF0C5B"/>
    <w:p w14:paraId="39C5EE20" w14:textId="230F940A" w:rsidR="003E45F5" w:rsidRDefault="003E45F5" w:rsidP="005B626E">
      <w:pPr>
        <w:spacing w:after="0" w:line="240" w:lineRule="auto"/>
        <w:rPr>
          <w:rFonts w:eastAsia="Times New Roman" w:cs="Arial"/>
          <w:bCs/>
          <w:color w:val="C00000"/>
          <w:sz w:val="44"/>
          <w:szCs w:val="44"/>
          <w:lang w:val="en-US" w:eastAsia="en-GB"/>
        </w:rPr>
      </w:pPr>
    </w:p>
    <w:p w14:paraId="27AEF5E9" w14:textId="77777777" w:rsidR="003E45F5" w:rsidRDefault="003E45F5" w:rsidP="005B626E">
      <w:pPr>
        <w:spacing w:after="0" w:line="240" w:lineRule="auto"/>
        <w:rPr>
          <w:rFonts w:eastAsia="Times New Roman" w:cs="Arial"/>
          <w:bCs/>
          <w:color w:val="C00000"/>
          <w:sz w:val="44"/>
          <w:szCs w:val="44"/>
          <w:lang w:val="en-US" w:eastAsia="en-GB"/>
        </w:rPr>
      </w:pPr>
    </w:p>
    <w:p w14:paraId="26D1CB92" w14:textId="5C19A75C" w:rsidR="005B626E" w:rsidRPr="005B626E" w:rsidRDefault="003F7B1B" w:rsidP="005B626E">
      <w:pPr>
        <w:spacing w:after="0" w:line="240" w:lineRule="auto"/>
        <w:rPr>
          <w:rFonts w:eastAsia="Times New Roman" w:cs="Arial"/>
          <w:bCs/>
          <w:color w:val="C00000"/>
          <w:sz w:val="44"/>
          <w:szCs w:val="44"/>
          <w:lang w:val="en-US" w:eastAsia="en-GB"/>
        </w:rPr>
      </w:pPr>
      <w:r>
        <w:rPr>
          <w:rFonts w:eastAsia="Times New Roman" w:cs="Arial"/>
          <w:bCs/>
          <w:color w:val="C00000"/>
          <w:sz w:val="44"/>
          <w:szCs w:val="44"/>
          <w:lang w:val="en-US" w:eastAsia="en-GB"/>
        </w:rPr>
        <w:t xml:space="preserve">SIAA </w:t>
      </w:r>
      <w:r w:rsidR="00F021A6">
        <w:rPr>
          <w:rFonts w:eastAsia="Times New Roman" w:cs="Arial"/>
          <w:bCs/>
          <w:color w:val="C00000"/>
          <w:sz w:val="44"/>
          <w:szCs w:val="44"/>
          <w:lang w:val="en-US" w:eastAsia="en-GB"/>
        </w:rPr>
        <w:t>Roundtable</w:t>
      </w:r>
      <w:r w:rsidR="00C51CA9">
        <w:rPr>
          <w:rFonts w:eastAsia="Times New Roman" w:cs="Arial"/>
          <w:bCs/>
          <w:color w:val="C00000"/>
          <w:sz w:val="44"/>
          <w:szCs w:val="44"/>
          <w:lang w:val="en-US" w:eastAsia="en-GB"/>
        </w:rPr>
        <w:t xml:space="preserve"> </w:t>
      </w:r>
      <w:r w:rsidR="00C51CA9" w:rsidRPr="00C51CA9">
        <w:rPr>
          <w:rFonts w:eastAsia="Times New Roman" w:cs="Arial"/>
          <w:bCs/>
          <w:color w:val="C00000"/>
          <w:sz w:val="44"/>
          <w:szCs w:val="44"/>
          <w:lang w:val="en-US" w:eastAsia="en-GB"/>
        </w:rPr>
        <w:t xml:space="preserve">| </w:t>
      </w:r>
      <w:r w:rsidR="00F021A6">
        <w:rPr>
          <w:rFonts w:eastAsia="Times New Roman" w:cs="Arial"/>
          <w:bCs/>
          <w:color w:val="C00000"/>
          <w:sz w:val="44"/>
          <w:szCs w:val="44"/>
          <w:lang w:val="en-US" w:eastAsia="en-GB"/>
        </w:rPr>
        <w:t>2 August</w:t>
      </w:r>
      <w:r w:rsidR="00C51CA9" w:rsidRPr="00C51CA9">
        <w:rPr>
          <w:rFonts w:eastAsia="Times New Roman" w:cs="Arial"/>
          <w:bCs/>
          <w:color w:val="C00000"/>
          <w:sz w:val="44"/>
          <w:szCs w:val="44"/>
          <w:lang w:val="en-US" w:eastAsia="en-GB"/>
        </w:rPr>
        <w:t xml:space="preserve"> 2023</w:t>
      </w:r>
    </w:p>
    <w:p w14:paraId="480B7090" w14:textId="7C3DDF57" w:rsidR="005B626E" w:rsidRPr="005B626E" w:rsidRDefault="005B626E" w:rsidP="003E45F5">
      <w:pPr>
        <w:pBdr>
          <w:bottom w:val="single" w:sz="6" w:space="0" w:color="auto"/>
        </w:pBdr>
        <w:spacing w:line="240" w:lineRule="auto"/>
        <w:rPr>
          <w:rFonts w:eastAsia="Times" w:cs="Arial"/>
          <w:b/>
          <w:sz w:val="14"/>
          <w:szCs w:val="14"/>
          <w:lang w:eastAsia="en-GB"/>
        </w:rPr>
      </w:pPr>
    </w:p>
    <w:p w14:paraId="30219F9C" w14:textId="185257EE" w:rsidR="003E45F5" w:rsidRPr="008A7FA9" w:rsidRDefault="002A3934" w:rsidP="008A7FA9">
      <w:pPr>
        <w:pStyle w:val="Title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Minutes</w:t>
      </w:r>
      <w:r w:rsidR="003F7B1B" w:rsidRPr="00FD3658">
        <w:rPr>
          <w:rFonts w:asciiTheme="minorHAnsi" w:hAnsiTheme="minorHAnsi" w:cstheme="minorHAnsi"/>
          <w:sz w:val="44"/>
          <w:szCs w:val="44"/>
        </w:rPr>
        <w:t xml:space="preserve"> </w:t>
      </w:r>
      <w:r w:rsidR="00F021A6">
        <w:rPr>
          <w:rFonts w:asciiTheme="minorHAnsi" w:hAnsiTheme="minorHAnsi" w:cstheme="minorHAnsi"/>
          <w:sz w:val="44"/>
          <w:szCs w:val="44"/>
        </w:rPr>
        <w:t>Human Rights Bill Consultation</w:t>
      </w:r>
    </w:p>
    <w:p w14:paraId="6330C06D" w14:textId="77777777" w:rsidR="00B10F04" w:rsidRDefault="00B10F04" w:rsidP="00B10F04"/>
    <w:p w14:paraId="533B4F48" w14:textId="62974873" w:rsidR="002A3934" w:rsidRDefault="009A41E4" w:rsidP="009A41E4">
      <w:pPr>
        <w:pStyle w:val="Heading1"/>
      </w:pPr>
      <w:r>
        <w:t>Welcome</w:t>
      </w:r>
      <w:r w:rsidR="000F1BBD">
        <w:t xml:space="preserve"> and meeting structure</w:t>
      </w:r>
    </w:p>
    <w:p w14:paraId="03E961EE" w14:textId="744188AA" w:rsidR="00B10F04" w:rsidRDefault="00B10F04" w:rsidP="00B10F04">
      <w:r>
        <w:t xml:space="preserve">Thank you </w:t>
      </w:r>
      <w:r w:rsidR="000F1BBD">
        <w:t>to member that joined the meeting. Structure of meeting outlined.</w:t>
      </w:r>
    </w:p>
    <w:p w14:paraId="2B5EABA6" w14:textId="613526C2" w:rsidR="00B10F04" w:rsidRDefault="009A41E4" w:rsidP="009A41E4">
      <w:pPr>
        <w:pStyle w:val="Heading1"/>
      </w:pPr>
      <w:r>
        <w:t>Context</w:t>
      </w:r>
    </w:p>
    <w:p w14:paraId="0904B443" w14:textId="7409C4C0" w:rsidR="00C27F72" w:rsidRDefault="00C914F0" w:rsidP="00C914F0">
      <w:r>
        <w:t xml:space="preserve">Context around the Human Rights Bill and consultation was covered. Details on this can be accessed on the </w:t>
      </w:r>
      <w:hyperlink r:id="rId12" w:history="1">
        <w:r w:rsidRPr="001E6FDC">
          <w:rPr>
            <w:rStyle w:val="Hyperlink"/>
          </w:rPr>
          <w:t xml:space="preserve">Scottish </w:t>
        </w:r>
        <w:r w:rsidR="00BA346D" w:rsidRPr="001E6FDC">
          <w:rPr>
            <w:rStyle w:val="Hyperlink"/>
          </w:rPr>
          <w:t>Government’s</w:t>
        </w:r>
        <w:r w:rsidRPr="001E6FDC">
          <w:rPr>
            <w:rStyle w:val="Hyperlink"/>
          </w:rPr>
          <w:t xml:space="preserve"> website</w:t>
        </w:r>
      </w:hyperlink>
      <w:r>
        <w:t xml:space="preserve"> and </w:t>
      </w:r>
      <w:hyperlink r:id="rId13" w:history="1">
        <w:r w:rsidR="00BA346D" w:rsidRPr="00844CD8">
          <w:rPr>
            <w:rStyle w:val="Hyperlink"/>
          </w:rPr>
          <w:t>Citizen Space consultation hub</w:t>
        </w:r>
      </w:hyperlink>
      <w:r w:rsidR="00BA346D">
        <w:t xml:space="preserve">. </w:t>
      </w:r>
      <w:r w:rsidR="00C27F72">
        <w:t>Further versions and links about the consultation can be found below:</w:t>
      </w:r>
    </w:p>
    <w:p w14:paraId="2A3D411F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Listen to an </w:t>
      </w:r>
      <w:hyperlink r:id="rId14" w:history="1">
        <w:r w:rsidRPr="00C27F72">
          <w:rPr>
            <w:rStyle w:val="Hyperlink"/>
          </w:rPr>
          <w:t>audio transcript</w:t>
        </w:r>
      </w:hyperlink>
      <w:r w:rsidRPr="00C27F72">
        <w:t xml:space="preserve"> of the consultation</w:t>
      </w:r>
    </w:p>
    <w:p w14:paraId="0AF8107E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Read an </w:t>
      </w:r>
      <w:hyperlink r:id="rId15" w:history="1">
        <w:r w:rsidRPr="00C27F72">
          <w:rPr>
            <w:rStyle w:val="Hyperlink"/>
          </w:rPr>
          <w:t>Easy Read</w:t>
        </w:r>
      </w:hyperlink>
      <w:r w:rsidRPr="00C27F72">
        <w:t xml:space="preserve"> version of the consultation</w:t>
      </w:r>
    </w:p>
    <w:p w14:paraId="699D5729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Read a </w:t>
      </w:r>
      <w:hyperlink r:id="rId16" w:history="1">
        <w:r w:rsidRPr="00C27F72">
          <w:rPr>
            <w:rStyle w:val="Hyperlink"/>
          </w:rPr>
          <w:t xml:space="preserve">Gaelic </w:t>
        </w:r>
      </w:hyperlink>
      <w:r w:rsidRPr="00C27F72">
        <w:t>version of the consultation</w:t>
      </w:r>
    </w:p>
    <w:p w14:paraId="5425B23C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Read a </w:t>
      </w:r>
      <w:hyperlink r:id="rId17" w:history="1">
        <w:r w:rsidRPr="00C27F72">
          <w:rPr>
            <w:rStyle w:val="Hyperlink"/>
          </w:rPr>
          <w:t>short guide</w:t>
        </w:r>
      </w:hyperlink>
      <w:r w:rsidRPr="00C27F72">
        <w:t xml:space="preserve"> to the proposals in the consultation</w:t>
      </w:r>
    </w:p>
    <w:p w14:paraId="453388AE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Watch a </w:t>
      </w:r>
      <w:hyperlink r:id="rId18" w:history="1">
        <w:r w:rsidRPr="00C27F72">
          <w:rPr>
            <w:rStyle w:val="Hyperlink"/>
          </w:rPr>
          <w:t>BSL</w:t>
        </w:r>
      </w:hyperlink>
      <w:r w:rsidRPr="00C27F72">
        <w:t xml:space="preserve"> translation of the short guide</w:t>
      </w:r>
    </w:p>
    <w:p w14:paraId="650F4FBA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Listen to an </w:t>
      </w:r>
      <w:hyperlink r:id="rId19" w:history="1">
        <w:r w:rsidRPr="00C27F72">
          <w:rPr>
            <w:rStyle w:val="Hyperlink"/>
          </w:rPr>
          <w:t>audio transcript</w:t>
        </w:r>
      </w:hyperlink>
      <w:r w:rsidRPr="00C27F72">
        <w:t xml:space="preserve"> of the short guide</w:t>
      </w:r>
    </w:p>
    <w:p w14:paraId="17728E94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Read a </w:t>
      </w:r>
      <w:hyperlink r:id="rId20" w:history="1">
        <w:r w:rsidRPr="00C27F72">
          <w:rPr>
            <w:rStyle w:val="Hyperlink"/>
          </w:rPr>
          <w:t>Gaelic version</w:t>
        </w:r>
      </w:hyperlink>
      <w:r w:rsidRPr="00C27F72">
        <w:t xml:space="preserve"> of the short guide</w:t>
      </w:r>
    </w:p>
    <w:p w14:paraId="20D48ED9" w14:textId="77777777" w:rsidR="00C27F72" w:rsidRPr="00C27F72" w:rsidRDefault="00C27F72" w:rsidP="00C27F72">
      <w:pPr>
        <w:pStyle w:val="ListParagraph"/>
        <w:numPr>
          <w:ilvl w:val="0"/>
          <w:numId w:val="24"/>
        </w:numPr>
      </w:pPr>
      <w:r w:rsidRPr="00C27F72">
        <w:t xml:space="preserve">If you are planning to host a group discussion on the consultation, you may wish to refer to our </w:t>
      </w:r>
      <w:hyperlink r:id="rId21" w:history="1">
        <w:r w:rsidRPr="00C27F72">
          <w:rPr>
            <w:rStyle w:val="Hyperlink"/>
          </w:rPr>
          <w:t>facilitator's guide</w:t>
        </w:r>
      </w:hyperlink>
      <w:r w:rsidRPr="00C27F72">
        <w:t xml:space="preserve">. </w:t>
      </w:r>
    </w:p>
    <w:p w14:paraId="13242FD7" w14:textId="28FE1FB8" w:rsidR="00B10F04" w:rsidRDefault="00BA346D" w:rsidP="00C914F0">
      <w:r>
        <w:t xml:space="preserve">There is also a civil society </w:t>
      </w:r>
      <w:hyperlink r:id="rId22" w:history="1">
        <w:r w:rsidRPr="005D503E">
          <w:rPr>
            <w:rStyle w:val="Hyperlink"/>
          </w:rPr>
          <w:t>guide to the consultation that has been published by Human Rights Consortium Scotland (HRCS)</w:t>
        </w:r>
      </w:hyperlink>
      <w:r>
        <w:t xml:space="preserve"> and further consultation events from </w:t>
      </w:r>
      <w:hyperlink r:id="rId23" w:history="1">
        <w:r w:rsidRPr="00703586">
          <w:rPr>
            <w:rStyle w:val="Hyperlink"/>
          </w:rPr>
          <w:t>Scottish Government</w:t>
        </w:r>
      </w:hyperlink>
      <w:r>
        <w:t xml:space="preserve"> and </w:t>
      </w:r>
      <w:hyperlink r:id="rId24" w:history="1">
        <w:r w:rsidRPr="008B0DF0">
          <w:rPr>
            <w:rStyle w:val="Hyperlink"/>
          </w:rPr>
          <w:t>HRCS</w:t>
        </w:r>
      </w:hyperlink>
      <w:r>
        <w:t xml:space="preserve"> that you can take part in.</w:t>
      </w:r>
    </w:p>
    <w:p w14:paraId="65500E73" w14:textId="0F3A80C8" w:rsidR="006F6231" w:rsidRDefault="006F6231" w:rsidP="00C914F0">
      <w:r>
        <w:t>The consultation closes on 5 October 2023.</w:t>
      </w:r>
    </w:p>
    <w:p w14:paraId="6E4C0061" w14:textId="77777777" w:rsidR="00B10F04" w:rsidRDefault="00B10F04" w:rsidP="009A41E4">
      <w:pPr>
        <w:pStyle w:val="Heading1"/>
      </w:pPr>
      <w:r>
        <w:t xml:space="preserve">Consultation questions </w:t>
      </w:r>
    </w:p>
    <w:p w14:paraId="3B385E63" w14:textId="5E2B5991" w:rsidR="00B10F04" w:rsidRDefault="00B10F04" w:rsidP="00B10F04">
      <w:r>
        <w:t>Where does advocacy sit in all of this?</w:t>
      </w:r>
      <w:r w:rsidR="00CA2625">
        <w:t xml:space="preserve"> Advocacy appears in the Access to Justice section of the consultation </w:t>
      </w:r>
      <w:r w:rsidR="008937FE">
        <w:t>document</w:t>
      </w:r>
      <w:r w:rsidR="00CA2625">
        <w:t xml:space="preserve"> with </w:t>
      </w:r>
      <w:r w:rsidR="008937FE">
        <w:t>one question asking about advocacy.</w:t>
      </w:r>
    </w:p>
    <w:p w14:paraId="7C89E131" w14:textId="77777777" w:rsidR="00B10F04" w:rsidRDefault="00B10F04" w:rsidP="00B10F04">
      <w:r>
        <w:t>Question 27. What are your views on the most effective ways of supporting advocacy and/or advice services to help rights-holders realise their rights under the Bill?</w:t>
      </w:r>
    </w:p>
    <w:p w14:paraId="65676125" w14:textId="29BBF914" w:rsidR="00B10F04" w:rsidRDefault="00B10F04" w:rsidP="009A41E4">
      <w:pPr>
        <w:pStyle w:val="Heading1"/>
      </w:pPr>
      <w:r>
        <w:lastRenderedPageBreak/>
        <w:t>Breakout grou</w:t>
      </w:r>
      <w:r w:rsidR="008937FE">
        <w:t>p discussions</w:t>
      </w:r>
      <w:r>
        <w:t xml:space="preserve"> </w:t>
      </w:r>
    </w:p>
    <w:p w14:paraId="5A9EFF6C" w14:textId="77777777" w:rsidR="00D22154" w:rsidRDefault="00D22154" w:rsidP="00CD5DDE"/>
    <w:p w14:paraId="28971189" w14:textId="7780418A" w:rsidR="00CD5DDE" w:rsidRPr="00CD5DDE" w:rsidRDefault="00002C80" w:rsidP="005868AB">
      <w:r>
        <w:t xml:space="preserve">Breakout groups </w:t>
      </w:r>
      <w:r w:rsidR="00D22154">
        <w:t>discussed</w:t>
      </w:r>
      <w:r>
        <w:t xml:space="preserve"> three areas that SIAA are </w:t>
      </w:r>
      <w:r w:rsidR="00D22154">
        <w:t xml:space="preserve">gathering members views on to respond to the consultation. </w:t>
      </w:r>
    </w:p>
    <w:p w14:paraId="1EB50945" w14:textId="1DB085F6" w:rsidR="004612FC" w:rsidRPr="004612FC" w:rsidRDefault="00CD5DDE" w:rsidP="004612FC">
      <w:pPr>
        <w:rPr>
          <w:b/>
          <w:bCs/>
        </w:rPr>
      </w:pPr>
      <w:r w:rsidRPr="00CD5DDE">
        <w:rPr>
          <w:b/>
          <w:bCs/>
        </w:rPr>
        <w:t xml:space="preserve">1. </w:t>
      </w:r>
      <w:r w:rsidR="00FF6546">
        <w:rPr>
          <w:b/>
          <w:bCs/>
        </w:rPr>
        <w:t>Groups discussed if they agreed on recommending a clear d</w:t>
      </w:r>
      <w:r w:rsidRPr="00CD5DDE">
        <w:rPr>
          <w:b/>
          <w:bCs/>
        </w:rPr>
        <w:t>efinition of independent advocacy</w:t>
      </w:r>
      <w:r w:rsidR="004612FC" w:rsidRPr="004612FC">
        <w:rPr>
          <w:rFonts w:ascii="Times New Roman" w:eastAsia="Times New Roman" w:hAnsi="Times New Roman" w:cs="Times New Roman"/>
          <w:color w:val="000000"/>
          <w:szCs w:val="24"/>
          <w:lang w:eastAsia="en-GB"/>
        </w:rPr>
        <w:t xml:space="preserve"> </w:t>
      </w:r>
      <w:r w:rsidR="004612FC" w:rsidRPr="004612FC">
        <w:rPr>
          <w:b/>
          <w:bCs/>
        </w:rPr>
        <w:t xml:space="preserve">suggested from </w:t>
      </w:r>
      <w:r w:rsidR="00FF6546">
        <w:rPr>
          <w:b/>
          <w:bCs/>
        </w:rPr>
        <w:t>‘</w:t>
      </w:r>
      <w:r w:rsidR="004612FC" w:rsidRPr="004612FC">
        <w:rPr>
          <w:b/>
          <w:bCs/>
        </w:rPr>
        <w:t>Principles</w:t>
      </w:r>
      <w:r w:rsidR="00FF6546">
        <w:rPr>
          <w:b/>
          <w:bCs/>
        </w:rPr>
        <w:t>’</w:t>
      </w:r>
      <w:r w:rsidR="004612FC" w:rsidRPr="004612FC">
        <w:rPr>
          <w:b/>
          <w:bCs/>
        </w:rPr>
        <w:t xml:space="preserve"> as "independent advocacy should:</w:t>
      </w:r>
    </w:p>
    <w:p w14:paraId="2231711D" w14:textId="3675D1A8" w:rsidR="004612FC" w:rsidRPr="004612FC" w:rsidRDefault="004612FC" w:rsidP="004612FC">
      <w:pPr>
        <w:ind w:left="720"/>
        <w:rPr>
          <w:b/>
          <w:bCs/>
        </w:rPr>
      </w:pPr>
      <w:r>
        <w:rPr>
          <w:b/>
          <w:bCs/>
        </w:rPr>
        <w:t xml:space="preserve">- </w:t>
      </w:r>
      <w:r w:rsidRPr="004612FC">
        <w:rPr>
          <w:b/>
          <w:bCs/>
        </w:rPr>
        <w:t>Have structural, financial and psychological independence from others</w:t>
      </w:r>
    </w:p>
    <w:p w14:paraId="5DCD1F3A" w14:textId="1D051508" w:rsidR="004612FC" w:rsidRPr="004612FC" w:rsidRDefault="00DE0286" w:rsidP="004612FC">
      <w:pPr>
        <w:ind w:left="720"/>
        <w:rPr>
          <w:b/>
          <w:bCs/>
        </w:rPr>
      </w:pPr>
      <w:r>
        <w:rPr>
          <w:b/>
          <w:bCs/>
        </w:rPr>
        <w:t xml:space="preserve">- </w:t>
      </w:r>
      <w:r w:rsidR="004612FC" w:rsidRPr="004612FC">
        <w:rPr>
          <w:b/>
          <w:bCs/>
        </w:rPr>
        <w:t>Provide no other services, has no other interests, ties or links other than the delivery, promotion, support and defence of independent advocacy.</w:t>
      </w:r>
      <w:r w:rsidR="004612FC">
        <w:rPr>
          <w:b/>
          <w:bCs/>
        </w:rPr>
        <w:t>”</w:t>
      </w:r>
    </w:p>
    <w:p w14:paraId="468876A2" w14:textId="1424728C" w:rsidR="00CD5DDE" w:rsidRPr="00CD5DDE" w:rsidRDefault="00FF6546" w:rsidP="00CD5DDE">
      <w:r>
        <w:t>Comments from group:</w:t>
      </w:r>
    </w:p>
    <w:p w14:paraId="7C3BF1BA" w14:textId="77777777" w:rsidR="00CD5DDE" w:rsidRPr="00CD5DDE" w:rsidRDefault="00CD5DDE" w:rsidP="00CD5DDE">
      <w:pPr>
        <w:numPr>
          <w:ilvl w:val="0"/>
          <w:numId w:val="18"/>
        </w:numPr>
      </w:pPr>
      <w:r w:rsidRPr="00CD5DDE">
        <w:t>The group agreed with the definition</w:t>
      </w:r>
    </w:p>
    <w:p w14:paraId="22B55459" w14:textId="057BA661" w:rsidR="00CD5DDE" w:rsidRPr="00CD5DDE" w:rsidRDefault="00CD5DDE" w:rsidP="00CD5DDE">
      <w:pPr>
        <w:numPr>
          <w:ilvl w:val="0"/>
          <w:numId w:val="18"/>
        </w:numPr>
      </w:pPr>
      <w:r w:rsidRPr="00CD5DDE">
        <w:t>They thought it was helpful for funders to understand what independent advocacy is (</w:t>
      </w:r>
      <w:r w:rsidR="00360096">
        <w:t>Noted that some commissioners are starting</w:t>
      </w:r>
      <w:r w:rsidRPr="00CD5DDE">
        <w:t xml:space="preserve"> to fund for 'advocacy' rather than </w:t>
      </w:r>
      <w:r w:rsidR="00360096">
        <w:t>independent advocacy</w:t>
      </w:r>
      <w:r w:rsidRPr="00CD5DDE">
        <w:t>)</w:t>
      </w:r>
    </w:p>
    <w:p w14:paraId="2171A3D7" w14:textId="77777777" w:rsidR="00CD5DDE" w:rsidRPr="00CD5DDE" w:rsidRDefault="00CD5DDE" w:rsidP="00CD5DDE">
      <w:pPr>
        <w:numPr>
          <w:ilvl w:val="0"/>
          <w:numId w:val="18"/>
        </w:numPr>
      </w:pPr>
      <w:r w:rsidRPr="00CD5DDE">
        <w:t>They mentioned that it was important to highlight the 'independence' element to understand the difference between IA and other services (like information services, advice)</w:t>
      </w:r>
    </w:p>
    <w:p w14:paraId="1FA729DA" w14:textId="77777777" w:rsidR="00CD5DDE" w:rsidRPr="00CD5DDE" w:rsidRDefault="00CD5DDE" w:rsidP="00CD5DDE">
      <w:pPr>
        <w:numPr>
          <w:ilvl w:val="0"/>
          <w:numId w:val="18"/>
        </w:numPr>
      </w:pPr>
      <w:r w:rsidRPr="00CD5DDE">
        <w:t>Having a clear definition is key to protect IA</w:t>
      </w:r>
    </w:p>
    <w:p w14:paraId="20FBBFC6" w14:textId="73AA86AA" w:rsidR="00604CA4" w:rsidRPr="00604CA4" w:rsidRDefault="00604CA4" w:rsidP="00604CA4">
      <w:pPr>
        <w:numPr>
          <w:ilvl w:val="0"/>
          <w:numId w:val="25"/>
        </w:numPr>
      </w:pPr>
      <w:r w:rsidRPr="00604CA4">
        <w:t>A definition that can be used everywhere would be useful and support better understanding of ‘independent advocacy.’</w:t>
      </w:r>
    </w:p>
    <w:p w14:paraId="74F8DD60" w14:textId="77777777" w:rsidR="00604CA4" w:rsidRPr="00604CA4" w:rsidRDefault="00604CA4" w:rsidP="00604CA4">
      <w:pPr>
        <w:numPr>
          <w:ilvl w:val="0"/>
          <w:numId w:val="25"/>
        </w:numPr>
      </w:pPr>
      <w:r w:rsidRPr="00604CA4">
        <w:t>Using the SIAA definition does describe independent advocacy, but parts of the definition are ambiguous (</w:t>
      </w:r>
      <w:proofErr w:type="spellStart"/>
      <w:r w:rsidRPr="00604CA4">
        <w:t>i.e</w:t>
      </w:r>
      <w:proofErr w:type="spellEnd"/>
      <w:r w:rsidRPr="00604CA4">
        <w:t>, separate from others).  The bullet points would read better reversed.</w:t>
      </w:r>
    </w:p>
    <w:p w14:paraId="0A51B2E6" w14:textId="7A2E0BFA" w:rsidR="00604CA4" w:rsidRPr="00604CA4" w:rsidRDefault="00360096" w:rsidP="00604CA4">
      <w:pPr>
        <w:numPr>
          <w:ilvl w:val="0"/>
          <w:numId w:val="25"/>
        </w:numPr>
      </w:pPr>
      <w:r>
        <w:t>‘</w:t>
      </w:r>
      <w:r w:rsidR="00604CA4" w:rsidRPr="00604CA4">
        <w:t>Independent advocacy</w:t>
      </w:r>
      <w:r>
        <w:t>’</w:t>
      </w:r>
      <w:r w:rsidR="00604CA4" w:rsidRPr="00604CA4">
        <w:t xml:space="preserve"> is a term in its own right - not part of a pick and mix of ‘advocacy’ like non independent advocacy, self-advocacy.</w:t>
      </w:r>
    </w:p>
    <w:p w14:paraId="6AFD5341" w14:textId="7B48E151" w:rsidR="00CD5DDE" w:rsidRPr="00CD5DDE" w:rsidRDefault="00CD5DDE" w:rsidP="00CD5DDE"/>
    <w:p w14:paraId="136FD442" w14:textId="77777777" w:rsidR="00CD5DDE" w:rsidRPr="00CD5DDE" w:rsidRDefault="00CD5DDE" w:rsidP="00CD5DDE">
      <w:r w:rsidRPr="00CD5DDE">
        <w:rPr>
          <w:b/>
          <w:bCs/>
        </w:rPr>
        <w:t>2. Funding model for independent advocacy that would support local grassroots organisations and collective advocacy groups</w:t>
      </w:r>
    </w:p>
    <w:p w14:paraId="442EB454" w14:textId="77777777" w:rsidR="00CD5DDE" w:rsidRPr="00CD5DDE" w:rsidRDefault="00CD5DDE" w:rsidP="00CD5DDE">
      <w:pPr>
        <w:numPr>
          <w:ilvl w:val="0"/>
          <w:numId w:val="19"/>
        </w:numPr>
      </w:pPr>
      <w:r w:rsidRPr="00CD5DDE">
        <w:t>Group agrees that we want to protect national grassroots providers</w:t>
      </w:r>
    </w:p>
    <w:p w14:paraId="0A0E92A8" w14:textId="25CEA484" w:rsidR="00CD5DDE" w:rsidRPr="00CD5DDE" w:rsidRDefault="00CD5DDE" w:rsidP="00D67B15">
      <w:pPr>
        <w:numPr>
          <w:ilvl w:val="0"/>
          <w:numId w:val="19"/>
        </w:numPr>
      </w:pPr>
      <w:r w:rsidRPr="00CD5DDE">
        <w:t xml:space="preserve">There are concerns about a centralised national funding model </w:t>
      </w:r>
      <w:r w:rsidR="00C0595D">
        <w:t>as</w:t>
      </w:r>
      <w:r w:rsidRPr="00CD5DDE">
        <w:t xml:space="preserve"> local knowledge and connections would be lost with </w:t>
      </w:r>
      <w:r w:rsidR="0092055E">
        <w:t>one</w:t>
      </w:r>
      <w:r w:rsidRPr="00CD5DDE">
        <w:t xml:space="preserve"> national provider and that organisations are not in a position to bid for a national contract</w:t>
      </w:r>
    </w:p>
    <w:p w14:paraId="6C1CE82F" w14:textId="6F1898E7" w:rsidR="00CD5DDE" w:rsidRPr="00CD5DDE" w:rsidRDefault="00CD5DDE" w:rsidP="00CD5DDE">
      <w:pPr>
        <w:numPr>
          <w:ilvl w:val="0"/>
          <w:numId w:val="19"/>
        </w:numPr>
      </w:pPr>
      <w:r w:rsidRPr="00CD5DDE">
        <w:t xml:space="preserve">Theres also a worry/question that if care service is nationalised, </w:t>
      </w:r>
      <w:r w:rsidR="0092055E">
        <w:t xml:space="preserve">it may follow that IA would have to be nationalised which </w:t>
      </w:r>
      <w:r w:rsidR="00DD3872">
        <w:t xml:space="preserve">is concerning for people that get so much out </w:t>
      </w:r>
      <w:r w:rsidR="00DD3872">
        <w:lastRenderedPageBreak/>
        <w:t>of local independent advocacy provision that is rooted in their communities, has local knowledge and expertise and meets advocacy partners face to face</w:t>
      </w:r>
    </w:p>
    <w:p w14:paraId="1465607F" w14:textId="51955539" w:rsidR="00A66152" w:rsidRPr="00A66152" w:rsidRDefault="00A66152" w:rsidP="00A66152">
      <w:pPr>
        <w:numPr>
          <w:ilvl w:val="0"/>
          <w:numId w:val="26"/>
        </w:numPr>
      </w:pPr>
      <w:r w:rsidRPr="00A66152">
        <w:t>A paper would be useful outlining the different options for sustainable funding.</w:t>
      </w:r>
    </w:p>
    <w:p w14:paraId="1A45FC95" w14:textId="7C4783B7" w:rsidR="00A66152" w:rsidRPr="00A66152" w:rsidRDefault="00A66152" w:rsidP="00A66152">
      <w:pPr>
        <w:numPr>
          <w:ilvl w:val="0"/>
          <w:numId w:val="26"/>
        </w:numPr>
      </w:pPr>
      <w:r w:rsidRPr="00A66152">
        <w:t>Funding for prison work – going straight to SPS to fund IA when it is funded through Health and Social Care, IA very limited and not enough funding.</w:t>
      </w:r>
    </w:p>
    <w:p w14:paraId="09F7ACDC" w14:textId="77777777" w:rsidR="00A66152" w:rsidRPr="00A66152" w:rsidRDefault="00A66152" w:rsidP="00A66152">
      <w:pPr>
        <w:numPr>
          <w:ilvl w:val="0"/>
          <w:numId w:val="26"/>
        </w:numPr>
      </w:pPr>
      <w:r w:rsidRPr="00A66152">
        <w:t>Childrens Hearings model of funding has worked exceptionally well.</w:t>
      </w:r>
    </w:p>
    <w:p w14:paraId="7DAF2765" w14:textId="77777777" w:rsidR="00A66152" w:rsidRPr="00A66152" w:rsidRDefault="00A66152" w:rsidP="00A66152">
      <w:pPr>
        <w:numPr>
          <w:ilvl w:val="0"/>
          <w:numId w:val="26"/>
        </w:numPr>
      </w:pPr>
      <w:r w:rsidRPr="00A66152">
        <w:t>Concerns about ‘National Advocacy Service’ and one national advocacy provider</w:t>
      </w:r>
    </w:p>
    <w:p w14:paraId="3821D469" w14:textId="438745BA" w:rsidR="00CD5DDE" w:rsidRPr="00CD5DDE" w:rsidRDefault="00CD5DDE" w:rsidP="00CD5DDE"/>
    <w:p w14:paraId="04DE89BA" w14:textId="77777777" w:rsidR="00CD5DDE" w:rsidRPr="00C914F0" w:rsidRDefault="00CD5DDE" w:rsidP="00C914F0">
      <w:pPr>
        <w:rPr>
          <w:b/>
          <w:bCs/>
        </w:rPr>
      </w:pPr>
      <w:r w:rsidRPr="00C914F0">
        <w:rPr>
          <w:b/>
          <w:bCs/>
        </w:rPr>
        <w:t>3. Independent advocacy for all and opt out for some groups. Clarifying models of advocacy e.g. individual, citizen and collective.                                                                      </w:t>
      </w:r>
    </w:p>
    <w:p w14:paraId="68566648" w14:textId="4287444C" w:rsidR="00CD5DDE" w:rsidRPr="00CD5DDE" w:rsidRDefault="00CD5DDE" w:rsidP="00CD5DDE">
      <w:pPr>
        <w:numPr>
          <w:ilvl w:val="0"/>
          <w:numId w:val="20"/>
        </w:numPr>
      </w:pPr>
      <w:r w:rsidRPr="00CD5DDE">
        <w:t xml:space="preserve">Concerns about having the resources to support 'opt out' and how this would look in practice. A member mentioned that resources shouldn't be a problem </w:t>
      </w:r>
      <w:r w:rsidR="00204C3A">
        <w:t xml:space="preserve">in theory </w:t>
      </w:r>
      <w:r w:rsidRPr="00CD5DDE">
        <w:t xml:space="preserve">as if it's in law </w:t>
      </w:r>
      <w:r w:rsidR="00204C3A">
        <w:t>Government</w:t>
      </w:r>
      <w:r w:rsidRPr="00CD5DDE">
        <w:t xml:space="preserve"> would need to resource it.</w:t>
      </w:r>
    </w:p>
    <w:p w14:paraId="559EBD75" w14:textId="77777777" w:rsidR="00CD5DDE" w:rsidRPr="00CD5DDE" w:rsidRDefault="00CD5DDE" w:rsidP="00CD5DDE">
      <w:pPr>
        <w:numPr>
          <w:ilvl w:val="0"/>
          <w:numId w:val="20"/>
        </w:numPr>
      </w:pPr>
      <w:r w:rsidRPr="00CD5DDE">
        <w:t>Question around what would the eligibility criteria be?</w:t>
      </w:r>
    </w:p>
    <w:p w14:paraId="45D72186" w14:textId="77777777" w:rsidR="00CD5DDE" w:rsidRPr="00CD5DDE" w:rsidRDefault="00CD5DDE" w:rsidP="00CD5DDE">
      <w:pPr>
        <w:numPr>
          <w:ilvl w:val="0"/>
          <w:numId w:val="20"/>
        </w:numPr>
      </w:pPr>
      <w:r w:rsidRPr="00CD5DDE">
        <w:t>Some groups that are most vulnerable should be prioritised</w:t>
      </w:r>
    </w:p>
    <w:p w14:paraId="692DDA5C" w14:textId="77777777" w:rsidR="00CD5DDE" w:rsidRPr="00CD5DDE" w:rsidRDefault="00CD5DDE" w:rsidP="00CD5DDE">
      <w:pPr>
        <w:numPr>
          <w:ilvl w:val="0"/>
          <w:numId w:val="20"/>
        </w:numPr>
      </w:pPr>
      <w:r w:rsidRPr="00CD5DDE">
        <w:t>Collective advocacy groups should be able to take cases to court</w:t>
      </w:r>
    </w:p>
    <w:p w14:paraId="0E243BF6" w14:textId="079A2AF7" w:rsidR="00A66152" w:rsidRDefault="00A66152" w:rsidP="00A66152">
      <w:pPr>
        <w:pStyle w:val="ListParagraph"/>
        <w:numPr>
          <w:ilvl w:val="0"/>
          <w:numId w:val="20"/>
        </w:numPr>
      </w:pPr>
      <w:r>
        <w:t>In principle agree with opt out but reality would currently be unworkable</w:t>
      </w:r>
      <w:r w:rsidR="00204C3A">
        <w:t xml:space="preserve"> </w:t>
      </w:r>
      <w:r w:rsidR="004206E4">
        <w:t>at present due to huge demands on current advocacy organisations and groups</w:t>
      </w:r>
    </w:p>
    <w:p w14:paraId="1F1D1307" w14:textId="5D2FA7D4" w:rsidR="00A66152" w:rsidRDefault="004206E4" w:rsidP="00A66152">
      <w:pPr>
        <w:pStyle w:val="ListParagraph"/>
        <w:numPr>
          <w:ilvl w:val="0"/>
          <w:numId w:val="20"/>
        </w:numPr>
      </w:pPr>
      <w:r>
        <w:t>To extend IA it w</w:t>
      </w:r>
      <w:r w:rsidR="00A66152">
        <w:t>ould need to be resourced adequately</w:t>
      </w:r>
      <w:r>
        <w:t>, implementation would need to be considered early and often as Bill goes through</w:t>
      </w:r>
      <w:r w:rsidR="00A66152">
        <w:t>.</w:t>
      </w:r>
    </w:p>
    <w:p w14:paraId="396FB209" w14:textId="77777777" w:rsidR="00A66152" w:rsidRDefault="00A66152" w:rsidP="00A66152">
      <w:pPr>
        <w:pStyle w:val="ListParagraph"/>
        <w:numPr>
          <w:ilvl w:val="0"/>
          <w:numId w:val="20"/>
        </w:numPr>
      </w:pPr>
      <w:r>
        <w:t>Could work for certain groups of people or certain points like, detention, adults with incapacity.</w:t>
      </w:r>
    </w:p>
    <w:p w14:paraId="0D0DC97B" w14:textId="7C1A557F" w:rsidR="00A66152" w:rsidRDefault="00A66152" w:rsidP="00A66152">
      <w:pPr>
        <w:pStyle w:val="ListParagraph"/>
        <w:numPr>
          <w:ilvl w:val="0"/>
          <w:numId w:val="20"/>
        </w:numPr>
      </w:pPr>
      <w:r>
        <w:t xml:space="preserve">If not, resourced would cause huge waiting lists, </w:t>
      </w:r>
      <w:r w:rsidR="004206E4">
        <w:t xml:space="preserve">and if the right funding model and organisations are not resources then it would reduce the </w:t>
      </w:r>
      <w:r>
        <w:t xml:space="preserve">quality </w:t>
      </w:r>
      <w:r w:rsidR="004206E4">
        <w:t xml:space="preserve">of </w:t>
      </w:r>
      <w:r>
        <w:t>IA</w:t>
      </w:r>
      <w:r w:rsidR="004206E4">
        <w:t xml:space="preserve"> and not meaningfully help people have their rights realised</w:t>
      </w:r>
      <w:r>
        <w:t xml:space="preserve"> </w:t>
      </w:r>
    </w:p>
    <w:p w14:paraId="64F72EBA" w14:textId="761FD53A" w:rsidR="00A66152" w:rsidRDefault="00A66152" w:rsidP="00A66152">
      <w:pPr>
        <w:pStyle w:val="ListParagraph"/>
        <w:numPr>
          <w:ilvl w:val="0"/>
          <w:numId w:val="20"/>
        </w:numPr>
      </w:pPr>
      <w:r>
        <w:t xml:space="preserve">Currently not everyone with the right </w:t>
      </w:r>
      <w:r w:rsidR="004206E4">
        <w:t xml:space="preserve">to IA is </w:t>
      </w:r>
      <w:r>
        <w:t>accessing advocacy.</w:t>
      </w:r>
    </w:p>
    <w:p w14:paraId="4A06B72F" w14:textId="79C87480" w:rsidR="00B10F04" w:rsidRDefault="00A66152" w:rsidP="00A66152">
      <w:pPr>
        <w:pStyle w:val="ListParagraph"/>
        <w:numPr>
          <w:ilvl w:val="0"/>
          <w:numId w:val="20"/>
        </w:numPr>
      </w:pPr>
      <w:r>
        <w:t>Linked to funding, capacity and sustainability</w:t>
      </w:r>
    </w:p>
    <w:p w14:paraId="16DFAFAD" w14:textId="77777777" w:rsidR="00002C80" w:rsidRDefault="00002C80" w:rsidP="00002C80">
      <w:pPr>
        <w:pStyle w:val="ListParagraph"/>
      </w:pPr>
    </w:p>
    <w:p w14:paraId="517A01B5" w14:textId="77777777" w:rsidR="00CD5DDE" w:rsidRPr="00CD5DDE" w:rsidRDefault="00CD5DDE" w:rsidP="00CD5DDE">
      <w:pPr>
        <w:rPr>
          <w:rFonts w:asciiTheme="majorHAnsi" w:eastAsiaTheme="majorEastAsia" w:hAnsiTheme="majorHAnsi" w:cstheme="majorBidi"/>
          <w:color w:val="C41230"/>
          <w:sz w:val="32"/>
          <w:szCs w:val="32"/>
        </w:rPr>
      </w:pPr>
      <w:r w:rsidRPr="00CD5DDE">
        <w:rPr>
          <w:rFonts w:asciiTheme="majorHAnsi" w:eastAsiaTheme="majorEastAsia" w:hAnsiTheme="majorHAnsi" w:cstheme="majorBidi"/>
          <w:color w:val="C41230"/>
          <w:sz w:val="32"/>
          <w:szCs w:val="32"/>
        </w:rPr>
        <w:t xml:space="preserve">Beyond the Human Rights Bill - Scottish Government engagement with SIAA members </w:t>
      </w:r>
    </w:p>
    <w:p w14:paraId="50A05A30" w14:textId="0EA4D043" w:rsidR="00CD5DDE" w:rsidRDefault="00CD5DDE" w:rsidP="00CD5DDE">
      <w:r w:rsidRPr="00CD5DDE">
        <w:t xml:space="preserve">Scottish Government leads in key policy areas including Human Rights Bill team and National Care Service </w:t>
      </w:r>
      <w:r w:rsidR="005E23AC">
        <w:t xml:space="preserve">team </w:t>
      </w:r>
      <w:r w:rsidRPr="00CD5DDE">
        <w:t>have expressed interest in having an ongoing dialogue with SIAA members to gather your expertise.</w:t>
      </w:r>
      <w:r w:rsidR="005E23AC">
        <w:t xml:space="preserve"> </w:t>
      </w:r>
    </w:p>
    <w:p w14:paraId="0D2BF812" w14:textId="6856E6A3" w:rsidR="0073677E" w:rsidRDefault="00F900F1" w:rsidP="00CD5DDE">
      <w:r>
        <w:t>Some me</w:t>
      </w:r>
      <w:r w:rsidR="0073677E">
        <w:t xml:space="preserve">mbers at the roundtable expressed that they were stretched capacity wise so they would find it difficult to </w:t>
      </w:r>
      <w:r>
        <w:t xml:space="preserve">attend meetings and share views </w:t>
      </w:r>
      <w:r w:rsidR="001143A3">
        <w:t xml:space="preserve">despite seeing it as very important it was just not feasible for them at present. </w:t>
      </w:r>
    </w:p>
    <w:p w14:paraId="77AA112C" w14:textId="235C5DB7" w:rsidR="00A17EF8" w:rsidRDefault="001143A3" w:rsidP="00B10F04">
      <w:r>
        <w:lastRenderedPageBreak/>
        <w:t xml:space="preserve">Other members at the roundtable identified that they had capacity and saw it as a necessity that they were around the table when key policy decisions about independent advocacy were being made. </w:t>
      </w:r>
    </w:p>
    <w:p w14:paraId="48BA2091" w14:textId="77777777" w:rsidR="00002C80" w:rsidRDefault="00002C80" w:rsidP="00B10F04"/>
    <w:p w14:paraId="0A1DAF65" w14:textId="77777777" w:rsidR="00A17EF8" w:rsidRDefault="00A17EF8" w:rsidP="00A17EF8">
      <w:pPr>
        <w:pStyle w:val="Heading1"/>
      </w:pPr>
      <w:r>
        <w:t>Next steps</w:t>
      </w:r>
    </w:p>
    <w:p w14:paraId="2ACB99A8" w14:textId="77777777" w:rsidR="005E23AC" w:rsidRPr="005E23AC" w:rsidRDefault="005E23AC" w:rsidP="005E23AC"/>
    <w:p w14:paraId="67D0AB90" w14:textId="1EAD9F86" w:rsidR="00A17EF8" w:rsidRDefault="00A17EF8" w:rsidP="005E23AC">
      <w:pPr>
        <w:pStyle w:val="ListParagraph"/>
        <w:numPr>
          <w:ilvl w:val="0"/>
          <w:numId w:val="22"/>
        </w:numPr>
      </w:pPr>
      <w:r>
        <w:t xml:space="preserve">SIAA will be drafting a response that will be sent out to member for further comment. </w:t>
      </w:r>
    </w:p>
    <w:p w14:paraId="7EAE71BE" w14:textId="3F7A9837" w:rsidR="00B10F04" w:rsidRDefault="00F519BD" w:rsidP="005E23AC">
      <w:pPr>
        <w:pStyle w:val="ListParagraph"/>
        <w:numPr>
          <w:ilvl w:val="0"/>
          <w:numId w:val="22"/>
        </w:numPr>
      </w:pPr>
      <w:r>
        <w:t xml:space="preserve">SIAA will aim to publish their response to the consultation, focussing on </w:t>
      </w:r>
      <w:r w:rsidR="00CD5DDE">
        <w:t>independent</w:t>
      </w:r>
      <w:r>
        <w:t xml:space="preserve"> advocacy several weeks before the closing date of </w:t>
      </w:r>
      <w:r w:rsidR="00B10F04">
        <w:t>5 October 2023</w:t>
      </w:r>
      <w:r>
        <w:t xml:space="preserve"> and encourage members and other civil society groups to support our </w:t>
      </w:r>
      <w:r w:rsidR="00CD5DDE">
        <w:t xml:space="preserve">position around independent advocacy. </w:t>
      </w:r>
    </w:p>
    <w:p w14:paraId="70ACA32B" w14:textId="0BA8D35E" w:rsidR="00C24E63" w:rsidRDefault="00CD5DDE" w:rsidP="005E23AC">
      <w:pPr>
        <w:pStyle w:val="ListParagraph"/>
        <w:numPr>
          <w:ilvl w:val="0"/>
          <w:numId w:val="22"/>
        </w:numPr>
      </w:pPr>
      <w:r>
        <w:t xml:space="preserve">SIAA will looking into </w:t>
      </w:r>
      <w:r w:rsidR="00C50E42">
        <w:t xml:space="preserve">options for writing two papers. One on funding options for widened access to independent advocacy and one on </w:t>
      </w:r>
      <w:r w:rsidR="005E23AC">
        <w:t>progressive realisation of the right to independent advocacy for all and specialist ‘opt out’ independent advocacy for groups most at risk of rights infringement.</w:t>
      </w:r>
    </w:p>
    <w:p w14:paraId="6A794563" w14:textId="373E6888" w:rsidR="001143A3" w:rsidRDefault="001143A3" w:rsidP="005E23AC">
      <w:pPr>
        <w:pStyle w:val="ListParagraph"/>
        <w:numPr>
          <w:ilvl w:val="0"/>
          <w:numId w:val="22"/>
        </w:numPr>
      </w:pPr>
      <w:r>
        <w:t xml:space="preserve">SIAA will </w:t>
      </w:r>
      <w:r w:rsidR="00326212">
        <w:t xml:space="preserve">plan meetings with Scottish Government officials working on key policy areas </w:t>
      </w:r>
      <w:r w:rsidR="00C914F0">
        <w:t>so members can share views with consideration of members’ limited time and resources.</w:t>
      </w:r>
    </w:p>
    <w:sectPr w:rsidR="001143A3" w:rsidSect="005B626E">
      <w:footerReference w:type="default" r:id="rId25"/>
      <w:footerReference w:type="first" r:id="rId26"/>
      <w:pgSz w:w="11906" w:h="16838"/>
      <w:pgMar w:top="1440" w:right="1440" w:bottom="1440" w:left="1440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2526" w14:textId="77777777" w:rsidR="002412C7" w:rsidRDefault="002412C7" w:rsidP="005B626E">
      <w:pPr>
        <w:spacing w:after="0" w:line="240" w:lineRule="auto"/>
      </w:pPr>
      <w:r>
        <w:separator/>
      </w:r>
    </w:p>
  </w:endnote>
  <w:endnote w:type="continuationSeparator" w:id="0">
    <w:p w14:paraId="24B44429" w14:textId="77777777" w:rsidR="002412C7" w:rsidRDefault="002412C7" w:rsidP="005B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095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37445" w14:textId="6CF84788" w:rsidR="005B626E" w:rsidRDefault="005B62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0CAAA" w14:textId="77777777" w:rsidR="005B626E" w:rsidRDefault="005B6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007659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14:paraId="647920EB" w14:textId="51DEA758" w:rsidR="00F31E83" w:rsidRPr="00F31E83" w:rsidRDefault="00F31E83">
        <w:pPr>
          <w:pStyle w:val="Footer"/>
          <w:jc w:val="right"/>
          <w:rPr>
            <w:sz w:val="22"/>
            <w:szCs w:val="20"/>
          </w:rPr>
        </w:pPr>
        <w:r w:rsidRPr="00F31E83">
          <w:rPr>
            <w:sz w:val="22"/>
            <w:szCs w:val="20"/>
          </w:rPr>
          <w:fldChar w:fldCharType="begin"/>
        </w:r>
        <w:r w:rsidRPr="00F31E83">
          <w:rPr>
            <w:sz w:val="22"/>
            <w:szCs w:val="20"/>
          </w:rPr>
          <w:instrText xml:space="preserve"> PAGE   \* MERGEFORMAT </w:instrText>
        </w:r>
        <w:r w:rsidRPr="00F31E83">
          <w:rPr>
            <w:sz w:val="22"/>
            <w:szCs w:val="20"/>
          </w:rPr>
          <w:fldChar w:fldCharType="separate"/>
        </w:r>
        <w:r w:rsidRPr="00F31E83">
          <w:rPr>
            <w:noProof/>
            <w:sz w:val="22"/>
            <w:szCs w:val="20"/>
          </w:rPr>
          <w:t>2</w:t>
        </w:r>
        <w:r w:rsidRPr="00F31E83">
          <w:rPr>
            <w:noProof/>
            <w:sz w:val="22"/>
            <w:szCs w:val="20"/>
          </w:rPr>
          <w:fldChar w:fldCharType="end"/>
        </w:r>
      </w:p>
    </w:sdtContent>
  </w:sdt>
  <w:p w14:paraId="1CE1804F" w14:textId="77777777" w:rsidR="009B0C44" w:rsidRDefault="009B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00F8" w14:textId="77777777" w:rsidR="002412C7" w:rsidRDefault="002412C7" w:rsidP="005B626E">
      <w:pPr>
        <w:spacing w:after="0" w:line="240" w:lineRule="auto"/>
      </w:pPr>
      <w:r>
        <w:separator/>
      </w:r>
    </w:p>
  </w:footnote>
  <w:footnote w:type="continuationSeparator" w:id="0">
    <w:p w14:paraId="062E8DE0" w14:textId="77777777" w:rsidR="002412C7" w:rsidRDefault="002412C7" w:rsidP="005B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2F1"/>
    <w:multiLevelType w:val="multilevel"/>
    <w:tmpl w:val="C57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49D3"/>
    <w:multiLevelType w:val="hybridMultilevel"/>
    <w:tmpl w:val="E824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F7B"/>
    <w:multiLevelType w:val="multilevel"/>
    <w:tmpl w:val="3C3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A3DE3"/>
    <w:multiLevelType w:val="hybridMultilevel"/>
    <w:tmpl w:val="EA9A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64EC"/>
    <w:multiLevelType w:val="multilevel"/>
    <w:tmpl w:val="DCE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26223"/>
    <w:multiLevelType w:val="hybridMultilevel"/>
    <w:tmpl w:val="62EC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5106"/>
    <w:multiLevelType w:val="multilevel"/>
    <w:tmpl w:val="1B52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701F0"/>
    <w:multiLevelType w:val="hybridMultilevel"/>
    <w:tmpl w:val="F296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7336"/>
    <w:multiLevelType w:val="hybridMultilevel"/>
    <w:tmpl w:val="7DAC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42F27"/>
    <w:multiLevelType w:val="hybridMultilevel"/>
    <w:tmpl w:val="2D00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12926"/>
    <w:multiLevelType w:val="hybridMultilevel"/>
    <w:tmpl w:val="FD4A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6948"/>
    <w:multiLevelType w:val="hybridMultilevel"/>
    <w:tmpl w:val="6B2A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745B1"/>
    <w:multiLevelType w:val="hybridMultilevel"/>
    <w:tmpl w:val="9BC66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D5005"/>
    <w:multiLevelType w:val="hybridMultilevel"/>
    <w:tmpl w:val="2EB2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5A2E"/>
    <w:multiLevelType w:val="multilevel"/>
    <w:tmpl w:val="D1A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36F1F"/>
    <w:multiLevelType w:val="hybridMultilevel"/>
    <w:tmpl w:val="81E6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1FB8"/>
    <w:multiLevelType w:val="hybridMultilevel"/>
    <w:tmpl w:val="3B708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371BF"/>
    <w:multiLevelType w:val="multilevel"/>
    <w:tmpl w:val="EDA6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413718"/>
    <w:multiLevelType w:val="hybridMultilevel"/>
    <w:tmpl w:val="9D5A2AF4"/>
    <w:lvl w:ilvl="0" w:tplc="8D5A59F0">
      <w:start w:val="1"/>
      <w:numFmt w:val="bullet"/>
      <w:lvlText w:val=""/>
      <w:lvlJc w:val="left"/>
      <w:pPr>
        <w:ind w:left="964" w:hanging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FE"/>
    <w:multiLevelType w:val="multilevel"/>
    <w:tmpl w:val="FAF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38758B"/>
    <w:multiLevelType w:val="hybridMultilevel"/>
    <w:tmpl w:val="7396A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65D59"/>
    <w:multiLevelType w:val="hybridMultilevel"/>
    <w:tmpl w:val="3BBC1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22D40"/>
    <w:multiLevelType w:val="hybridMultilevel"/>
    <w:tmpl w:val="5EFEB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C0280"/>
    <w:multiLevelType w:val="hybridMultilevel"/>
    <w:tmpl w:val="28F4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4316B"/>
    <w:multiLevelType w:val="hybridMultilevel"/>
    <w:tmpl w:val="922E9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9791B"/>
    <w:multiLevelType w:val="multilevel"/>
    <w:tmpl w:val="8832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042770">
    <w:abstractNumId w:val="18"/>
  </w:num>
  <w:num w:numId="2" w16cid:durableId="991955672">
    <w:abstractNumId w:val="12"/>
  </w:num>
  <w:num w:numId="3" w16cid:durableId="345597660">
    <w:abstractNumId w:val="21"/>
  </w:num>
  <w:num w:numId="4" w16cid:durableId="1813938103">
    <w:abstractNumId w:val="22"/>
  </w:num>
  <w:num w:numId="5" w16cid:durableId="1308171826">
    <w:abstractNumId w:val="20"/>
  </w:num>
  <w:num w:numId="6" w16cid:durableId="796290399">
    <w:abstractNumId w:val="16"/>
  </w:num>
  <w:num w:numId="7" w16cid:durableId="887884547">
    <w:abstractNumId w:val="25"/>
  </w:num>
  <w:num w:numId="8" w16cid:durableId="1996489661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 w16cid:durableId="1775710396">
    <w:abstractNumId w:val="23"/>
  </w:num>
  <w:num w:numId="10" w16cid:durableId="1655142866">
    <w:abstractNumId w:val="7"/>
  </w:num>
  <w:num w:numId="11" w16cid:durableId="1276984633">
    <w:abstractNumId w:val="13"/>
  </w:num>
  <w:num w:numId="12" w16cid:durableId="1384065532">
    <w:abstractNumId w:val="8"/>
  </w:num>
  <w:num w:numId="13" w16cid:durableId="1483817339">
    <w:abstractNumId w:val="1"/>
  </w:num>
  <w:num w:numId="14" w16cid:durableId="301085459">
    <w:abstractNumId w:val="3"/>
  </w:num>
  <w:num w:numId="15" w16cid:durableId="1793284383">
    <w:abstractNumId w:val="11"/>
  </w:num>
  <w:num w:numId="16" w16cid:durableId="1256986509">
    <w:abstractNumId w:val="9"/>
  </w:num>
  <w:num w:numId="17" w16cid:durableId="1425879774">
    <w:abstractNumId w:val="2"/>
  </w:num>
  <w:num w:numId="18" w16cid:durableId="2058888887">
    <w:abstractNumId w:val="4"/>
  </w:num>
  <w:num w:numId="19" w16cid:durableId="94788349">
    <w:abstractNumId w:val="17"/>
  </w:num>
  <w:num w:numId="20" w16cid:durableId="1658344486">
    <w:abstractNumId w:val="19"/>
  </w:num>
  <w:num w:numId="21" w16cid:durableId="1712684783">
    <w:abstractNumId w:val="24"/>
  </w:num>
  <w:num w:numId="22" w16cid:durableId="782923665">
    <w:abstractNumId w:val="15"/>
  </w:num>
  <w:num w:numId="23" w16cid:durableId="1495298732">
    <w:abstractNumId w:val="10"/>
  </w:num>
  <w:num w:numId="24" w16cid:durableId="2137022704">
    <w:abstractNumId w:val="5"/>
  </w:num>
  <w:num w:numId="25" w16cid:durableId="747074138">
    <w:abstractNumId w:val="0"/>
  </w:num>
  <w:num w:numId="26" w16cid:durableId="2059543678">
    <w:abstractNumId w:val="6"/>
  </w:num>
  <w:num w:numId="27" w16cid:durableId="1908878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5B"/>
    <w:rsid w:val="00002C80"/>
    <w:rsid w:val="000040B2"/>
    <w:rsid w:val="00020300"/>
    <w:rsid w:val="00031743"/>
    <w:rsid w:val="00041188"/>
    <w:rsid w:val="00044CD2"/>
    <w:rsid w:val="00061C48"/>
    <w:rsid w:val="00061CBD"/>
    <w:rsid w:val="00077D1A"/>
    <w:rsid w:val="00091183"/>
    <w:rsid w:val="00095333"/>
    <w:rsid w:val="0009671A"/>
    <w:rsid w:val="000B0D6B"/>
    <w:rsid w:val="000B1550"/>
    <w:rsid w:val="000C231B"/>
    <w:rsid w:val="000C3E73"/>
    <w:rsid w:val="000C4FEF"/>
    <w:rsid w:val="000C5D14"/>
    <w:rsid w:val="000D74A1"/>
    <w:rsid w:val="000E422C"/>
    <w:rsid w:val="000F1BBD"/>
    <w:rsid w:val="000F3538"/>
    <w:rsid w:val="001143A3"/>
    <w:rsid w:val="0011679F"/>
    <w:rsid w:val="001368EF"/>
    <w:rsid w:val="00142C85"/>
    <w:rsid w:val="00146FA5"/>
    <w:rsid w:val="0015721F"/>
    <w:rsid w:val="00166077"/>
    <w:rsid w:val="00177D3D"/>
    <w:rsid w:val="001814F2"/>
    <w:rsid w:val="0019597E"/>
    <w:rsid w:val="001C2C03"/>
    <w:rsid w:val="001D35F4"/>
    <w:rsid w:val="001E1FCC"/>
    <w:rsid w:val="001E50B6"/>
    <w:rsid w:val="001E57C1"/>
    <w:rsid w:val="001E6FDC"/>
    <w:rsid w:val="001E71C0"/>
    <w:rsid w:val="001F7296"/>
    <w:rsid w:val="001F7797"/>
    <w:rsid w:val="00204C3A"/>
    <w:rsid w:val="0020728A"/>
    <w:rsid w:val="002101AE"/>
    <w:rsid w:val="00211C79"/>
    <w:rsid w:val="00214D61"/>
    <w:rsid w:val="00223DA9"/>
    <w:rsid w:val="0022617B"/>
    <w:rsid w:val="002412C7"/>
    <w:rsid w:val="0024496C"/>
    <w:rsid w:val="00250F1D"/>
    <w:rsid w:val="002640C9"/>
    <w:rsid w:val="00285BD7"/>
    <w:rsid w:val="00285DF0"/>
    <w:rsid w:val="00290944"/>
    <w:rsid w:val="002948E3"/>
    <w:rsid w:val="0029678A"/>
    <w:rsid w:val="002A3934"/>
    <w:rsid w:val="002A5222"/>
    <w:rsid w:val="002C4B91"/>
    <w:rsid w:val="002D31E1"/>
    <w:rsid w:val="002E709E"/>
    <w:rsid w:val="002F0D17"/>
    <w:rsid w:val="002F3683"/>
    <w:rsid w:val="002F7838"/>
    <w:rsid w:val="0031696A"/>
    <w:rsid w:val="00326212"/>
    <w:rsid w:val="00330467"/>
    <w:rsid w:val="0035425D"/>
    <w:rsid w:val="00360096"/>
    <w:rsid w:val="00377095"/>
    <w:rsid w:val="003810DC"/>
    <w:rsid w:val="00392AC4"/>
    <w:rsid w:val="003A7422"/>
    <w:rsid w:val="003A75DE"/>
    <w:rsid w:val="003B075E"/>
    <w:rsid w:val="003B5562"/>
    <w:rsid w:val="003C3945"/>
    <w:rsid w:val="003D2AE0"/>
    <w:rsid w:val="003E2EFF"/>
    <w:rsid w:val="003E45F5"/>
    <w:rsid w:val="003E4E9D"/>
    <w:rsid w:val="003F0B3A"/>
    <w:rsid w:val="003F4A56"/>
    <w:rsid w:val="003F7513"/>
    <w:rsid w:val="003F7B1B"/>
    <w:rsid w:val="00400520"/>
    <w:rsid w:val="00401E1B"/>
    <w:rsid w:val="00403417"/>
    <w:rsid w:val="004206E4"/>
    <w:rsid w:val="00452B99"/>
    <w:rsid w:val="00456527"/>
    <w:rsid w:val="00456E4F"/>
    <w:rsid w:val="004612FC"/>
    <w:rsid w:val="00465849"/>
    <w:rsid w:val="00475B83"/>
    <w:rsid w:val="004C25E4"/>
    <w:rsid w:val="004D1F00"/>
    <w:rsid w:val="004D5277"/>
    <w:rsid w:val="004F425A"/>
    <w:rsid w:val="00510D8C"/>
    <w:rsid w:val="00535267"/>
    <w:rsid w:val="00535A4E"/>
    <w:rsid w:val="0053755F"/>
    <w:rsid w:val="0054734A"/>
    <w:rsid w:val="00547CB0"/>
    <w:rsid w:val="00560E70"/>
    <w:rsid w:val="005649AE"/>
    <w:rsid w:val="005654C4"/>
    <w:rsid w:val="0056581E"/>
    <w:rsid w:val="0058189A"/>
    <w:rsid w:val="005868AB"/>
    <w:rsid w:val="0058757D"/>
    <w:rsid w:val="005956C6"/>
    <w:rsid w:val="005A0355"/>
    <w:rsid w:val="005B5E74"/>
    <w:rsid w:val="005B626E"/>
    <w:rsid w:val="005C58B6"/>
    <w:rsid w:val="005D1D88"/>
    <w:rsid w:val="005D3520"/>
    <w:rsid w:val="005D503E"/>
    <w:rsid w:val="005E21D1"/>
    <w:rsid w:val="005E23AC"/>
    <w:rsid w:val="005F3FE8"/>
    <w:rsid w:val="005F4EB0"/>
    <w:rsid w:val="005F5E0A"/>
    <w:rsid w:val="005F63B7"/>
    <w:rsid w:val="00600188"/>
    <w:rsid w:val="00600E88"/>
    <w:rsid w:val="00604CA4"/>
    <w:rsid w:val="00606CA0"/>
    <w:rsid w:val="0061575C"/>
    <w:rsid w:val="0061650D"/>
    <w:rsid w:val="00640A4A"/>
    <w:rsid w:val="006664E2"/>
    <w:rsid w:val="0066752E"/>
    <w:rsid w:val="00681B52"/>
    <w:rsid w:val="00687B17"/>
    <w:rsid w:val="0069131F"/>
    <w:rsid w:val="00694C6D"/>
    <w:rsid w:val="006A0DA5"/>
    <w:rsid w:val="006B0F4F"/>
    <w:rsid w:val="006C50A7"/>
    <w:rsid w:val="006D6AC8"/>
    <w:rsid w:val="006E1F83"/>
    <w:rsid w:val="006F09F9"/>
    <w:rsid w:val="006F1E89"/>
    <w:rsid w:val="006F6231"/>
    <w:rsid w:val="00703586"/>
    <w:rsid w:val="00706D04"/>
    <w:rsid w:val="00707FC2"/>
    <w:rsid w:val="00715A99"/>
    <w:rsid w:val="00724A49"/>
    <w:rsid w:val="0073251B"/>
    <w:rsid w:val="0073677E"/>
    <w:rsid w:val="00754BD9"/>
    <w:rsid w:val="0076243E"/>
    <w:rsid w:val="00767476"/>
    <w:rsid w:val="00793063"/>
    <w:rsid w:val="007951D1"/>
    <w:rsid w:val="007A05D7"/>
    <w:rsid w:val="007A7767"/>
    <w:rsid w:val="007B6C88"/>
    <w:rsid w:val="007E2D80"/>
    <w:rsid w:val="00811D97"/>
    <w:rsid w:val="0081449D"/>
    <w:rsid w:val="00817C38"/>
    <w:rsid w:val="008417FE"/>
    <w:rsid w:val="00844CD8"/>
    <w:rsid w:val="00853860"/>
    <w:rsid w:val="00857A5E"/>
    <w:rsid w:val="00874F6F"/>
    <w:rsid w:val="00887CCD"/>
    <w:rsid w:val="008934DE"/>
    <w:rsid w:val="008937FE"/>
    <w:rsid w:val="00894DFF"/>
    <w:rsid w:val="008A2B2B"/>
    <w:rsid w:val="008A7FA9"/>
    <w:rsid w:val="008B0DF0"/>
    <w:rsid w:val="008C794A"/>
    <w:rsid w:val="008E3526"/>
    <w:rsid w:val="008E49DF"/>
    <w:rsid w:val="008F4C5B"/>
    <w:rsid w:val="008F621D"/>
    <w:rsid w:val="00904AA2"/>
    <w:rsid w:val="00914DBA"/>
    <w:rsid w:val="0092055E"/>
    <w:rsid w:val="009229BD"/>
    <w:rsid w:val="00923E21"/>
    <w:rsid w:val="00945566"/>
    <w:rsid w:val="00946D9F"/>
    <w:rsid w:val="009515D4"/>
    <w:rsid w:val="0096181F"/>
    <w:rsid w:val="00963008"/>
    <w:rsid w:val="00967DC3"/>
    <w:rsid w:val="0097755F"/>
    <w:rsid w:val="009A3EF9"/>
    <w:rsid w:val="009A41E4"/>
    <w:rsid w:val="009B0C44"/>
    <w:rsid w:val="009E66FE"/>
    <w:rsid w:val="009E673F"/>
    <w:rsid w:val="009F181E"/>
    <w:rsid w:val="009F2A65"/>
    <w:rsid w:val="00A1473B"/>
    <w:rsid w:val="00A17EF8"/>
    <w:rsid w:val="00A33A1F"/>
    <w:rsid w:val="00A34305"/>
    <w:rsid w:val="00A354F5"/>
    <w:rsid w:val="00A66152"/>
    <w:rsid w:val="00A66CE5"/>
    <w:rsid w:val="00A82656"/>
    <w:rsid w:val="00AB050D"/>
    <w:rsid w:val="00AB380B"/>
    <w:rsid w:val="00AC118E"/>
    <w:rsid w:val="00AE3F9A"/>
    <w:rsid w:val="00B00650"/>
    <w:rsid w:val="00B10F04"/>
    <w:rsid w:val="00B142E0"/>
    <w:rsid w:val="00B31698"/>
    <w:rsid w:val="00B42A97"/>
    <w:rsid w:val="00B471D6"/>
    <w:rsid w:val="00B50DB6"/>
    <w:rsid w:val="00B55497"/>
    <w:rsid w:val="00B641FB"/>
    <w:rsid w:val="00BA346D"/>
    <w:rsid w:val="00BB212C"/>
    <w:rsid w:val="00BB2403"/>
    <w:rsid w:val="00BB3C01"/>
    <w:rsid w:val="00BD3BB5"/>
    <w:rsid w:val="00BF0C5B"/>
    <w:rsid w:val="00C0595D"/>
    <w:rsid w:val="00C16F30"/>
    <w:rsid w:val="00C24E63"/>
    <w:rsid w:val="00C27F72"/>
    <w:rsid w:val="00C32C8B"/>
    <w:rsid w:val="00C32D3A"/>
    <w:rsid w:val="00C352B3"/>
    <w:rsid w:val="00C46C24"/>
    <w:rsid w:val="00C50E42"/>
    <w:rsid w:val="00C51CA9"/>
    <w:rsid w:val="00C53690"/>
    <w:rsid w:val="00C53801"/>
    <w:rsid w:val="00C6100E"/>
    <w:rsid w:val="00C67598"/>
    <w:rsid w:val="00C71816"/>
    <w:rsid w:val="00C71E42"/>
    <w:rsid w:val="00C7221F"/>
    <w:rsid w:val="00C75A1B"/>
    <w:rsid w:val="00C8456B"/>
    <w:rsid w:val="00C85D2E"/>
    <w:rsid w:val="00C87E60"/>
    <w:rsid w:val="00C914F0"/>
    <w:rsid w:val="00C92E39"/>
    <w:rsid w:val="00C95974"/>
    <w:rsid w:val="00CA2625"/>
    <w:rsid w:val="00CA31D0"/>
    <w:rsid w:val="00CA5C67"/>
    <w:rsid w:val="00CB7852"/>
    <w:rsid w:val="00CC4AD3"/>
    <w:rsid w:val="00CD5DDE"/>
    <w:rsid w:val="00CF3A40"/>
    <w:rsid w:val="00CF61AB"/>
    <w:rsid w:val="00D01496"/>
    <w:rsid w:val="00D22154"/>
    <w:rsid w:val="00D236E2"/>
    <w:rsid w:val="00D24712"/>
    <w:rsid w:val="00D32003"/>
    <w:rsid w:val="00D435C6"/>
    <w:rsid w:val="00D46B47"/>
    <w:rsid w:val="00D7594B"/>
    <w:rsid w:val="00D76EE3"/>
    <w:rsid w:val="00D80C7F"/>
    <w:rsid w:val="00D90AB6"/>
    <w:rsid w:val="00D9275A"/>
    <w:rsid w:val="00DA1B08"/>
    <w:rsid w:val="00DA5A21"/>
    <w:rsid w:val="00DB4A9B"/>
    <w:rsid w:val="00DB4DAE"/>
    <w:rsid w:val="00DB727A"/>
    <w:rsid w:val="00DB78B2"/>
    <w:rsid w:val="00DC66E3"/>
    <w:rsid w:val="00DD3872"/>
    <w:rsid w:val="00DE0048"/>
    <w:rsid w:val="00DE0286"/>
    <w:rsid w:val="00DF15A6"/>
    <w:rsid w:val="00DF2425"/>
    <w:rsid w:val="00E02477"/>
    <w:rsid w:val="00E111D2"/>
    <w:rsid w:val="00E15A85"/>
    <w:rsid w:val="00E34ED9"/>
    <w:rsid w:val="00E3540C"/>
    <w:rsid w:val="00E42375"/>
    <w:rsid w:val="00E66A18"/>
    <w:rsid w:val="00E93103"/>
    <w:rsid w:val="00EA0F5C"/>
    <w:rsid w:val="00EA14CB"/>
    <w:rsid w:val="00EA1A36"/>
    <w:rsid w:val="00EB1D03"/>
    <w:rsid w:val="00EC11E7"/>
    <w:rsid w:val="00EC6525"/>
    <w:rsid w:val="00EF21E2"/>
    <w:rsid w:val="00F021A6"/>
    <w:rsid w:val="00F07EF9"/>
    <w:rsid w:val="00F208E2"/>
    <w:rsid w:val="00F31E83"/>
    <w:rsid w:val="00F350AC"/>
    <w:rsid w:val="00F35330"/>
    <w:rsid w:val="00F36CE6"/>
    <w:rsid w:val="00F519BD"/>
    <w:rsid w:val="00F5291D"/>
    <w:rsid w:val="00F54275"/>
    <w:rsid w:val="00F55323"/>
    <w:rsid w:val="00F55446"/>
    <w:rsid w:val="00F633C3"/>
    <w:rsid w:val="00F652D8"/>
    <w:rsid w:val="00F67233"/>
    <w:rsid w:val="00F67D4E"/>
    <w:rsid w:val="00F70E53"/>
    <w:rsid w:val="00F86BCC"/>
    <w:rsid w:val="00F900F1"/>
    <w:rsid w:val="00F905D2"/>
    <w:rsid w:val="00F96B94"/>
    <w:rsid w:val="00F9762A"/>
    <w:rsid w:val="00FA404C"/>
    <w:rsid w:val="00FC048D"/>
    <w:rsid w:val="00FC7F96"/>
    <w:rsid w:val="00FD13C1"/>
    <w:rsid w:val="00FD365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FB5E6"/>
  <w15:chartTrackingRefBased/>
  <w15:docId w15:val="{EA1F9430-A2D7-4D7F-834A-ED61CEFF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D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123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5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C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0C5B"/>
    <w:rPr>
      <w:rFonts w:asciiTheme="majorHAnsi" w:eastAsiaTheme="majorEastAsia" w:hAnsiTheme="majorHAnsi" w:cstheme="majorBidi"/>
      <w:color w:val="C4123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B62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B6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26E"/>
  </w:style>
  <w:style w:type="paragraph" w:styleId="Footer">
    <w:name w:val="footer"/>
    <w:basedOn w:val="Normal"/>
    <w:link w:val="FooterChar"/>
    <w:uiPriority w:val="99"/>
    <w:unhideWhenUsed/>
    <w:rsid w:val="005B6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6E"/>
  </w:style>
  <w:style w:type="table" w:styleId="TableGrid">
    <w:name w:val="Table Grid"/>
    <w:basedOn w:val="TableNormal"/>
    <w:uiPriority w:val="39"/>
    <w:rsid w:val="003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471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400520"/>
    <w:pPr>
      <w:ind w:left="720"/>
      <w:contextualSpacing/>
    </w:pPr>
  </w:style>
  <w:style w:type="paragraph" w:customStyle="1" w:styleId="xmsonormal">
    <w:name w:val="x_msonormal"/>
    <w:basedOn w:val="Normal"/>
    <w:rsid w:val="00A1473B"/>
    <w:pPr>
      <w:spacing w:after="0" w:line="240" w:lineRule="auto"/>
    </w:pPr>
    <w:rPr>
      <w:rFonts w:ascii="Calibri" w:hAnsi="Calibri" w:cs="Calibri"/>
      <w:sz w:val="22"/>
      <w:lang w:eastAsia="en-GB"/>
    </w:rPr>
  </w:style>
  <w:style w:type="table" w:styleId="PlainTable3">
    <w:name w:val="Plain Table 3"/>
    <w:basedOn w:val="TableNormal"/>
    <w:uiPriority w:val="43"/>
    <w:rsid w:val="0053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0E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0E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0B15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5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sult.gov.scot/equality-and-human-rights/a-human-rights-bill-for-scotland-consultation/" TargetMode="External"/><Relationship Id="rId18" Type="http://schemas.openxmlformats.org/officeDocument/2006/relationships/hyperlink" Target="https://www.youtube.com/watch?v=55RSK_h_St8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scot/publications/human-rights-bill-consultation-facilitator-guide/pages/1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scot/publications/human-rights-bill-scotland-consultation/pages/9/" TargetMode="External"/><Relationship Id="rId17" Type="http://schemas.openxmlformats.org/officeDocument/2006/relationships/hyperlink" Target="https://www.gov.scot/publications/human-rights-bill-scotland-guide-consulta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publications/gaelic-translation-human-rights-bill-scotland-consultation/" TargetMode="External"/><Relationship Id="rId20" Type="http://schemas.openxmlformats.org/officeDocument/2006/relationships/hyperlink" Target="https://www.gov.scot/publications/gaelic-translation-human-rights-bill-scotland-consultation-guid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hrcscotland.org/2023/06/15/the-scottish-human-rights-bill-consultation-is-out-now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scot/publications/human-rights-bill-scotland-consultation-easy-read/" TargetMode="External"/><Relationship Id="rId23" Type="http://schemas.openxmlformats.org/officeDocument/2006/relationships/hyperlink" Target="https://www.eventbrite.com/o/scottish-government-64606319533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oundcloud.com/scotgov/sets/human-rights-bill-consultation-summary-vers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undcloud.com/scotgov/sets/human-rights-bill-consultation-full-version" TargetMode="External"/><Relationship Id="rId22" Type="http://schemas.openxmlformats.org/officeDocument/2006/relationships/hyperlink" Target="https://hrcscotland.org/2023/08/14/consortium-launches-human-rights-bill-consultation-guid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067600AA14F4F830CD3C809787141" ma:contentTypeVersion="17" ma:contentTypeDescription="Create a new document." ma:contentTypeScope="" ma:versionID="b374a16963ae3c1d5cb2209d62f65cc1">
  <xsd:schema xmlns:xsd="http://www.w3.org/2001/XMLSchema" xmlns:xs="http://www.w3.org/2001/XMLSchema" xmlns:p="http://schemas.microsoft.com/office/2006/metadata/properties" xmlns:ns2="09ceed7c-2d79-4c53-ae8c-ef267dfef2fc" xmlns:ns3="acbbbc1b-64ad-45f5-b216-4444116f9447" targetNamespace="http://schemas.microsoft.com/office/2006/metadata/properties" ma:root="true" ma:fieldsID="faa7a768a1c3f34f83099cec3109f9c0" ns2:_="" ns3:_="">
    <xsd:import namespace="09ceed7c-2d79-4c53-ae8c-ef267dfef2fc"/>
    <xsd:import namespace="acbbbc1b-64ad-45f5-b216-4444116f9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ed7c-2d79-4c53-ae8c-ef267dfe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635dd2-cd19-4c4c-a981-38312f07d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bbc1b-64ad-45f5-b216-4444116f9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f87fa1-287b-44a6-b118-146c9c8f7b9c}" ma:internalName="TaxCatchAll" ma:showField="CatchAllData" ma:web="acbbbc1b-64ad-45f5-b216-4444116f9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eed7c-2d79-4c53-ae8c-ef267dfef2fc">
      <Terms xmlns="http://schemas.microsoft.com/office/infopath/2007/PartnerControls"/>
    </lcf76f155ced4ddcb4097134ff3c332f>
    <TaxCatchAll xmlns="acbbbc1b-64ad-45f5-b216-4444116f9447" xsi:nil="true"/>
  </documentManagement>
</p:properties>
</file>

<file path=customXml/itemProps1.xml><?xml version="1.0" encoding="utf-8"?>
<ds:datastoreItem xmlns:ds="http://schemas.openxmlformats.org/officeDocument/2006/customXml" ds:itemID="{B255EB64-1ACF-430C-9243-280FE6171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5A63A-3BAE-48EF-9CF8-7F0622AC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eed7c-2d79-4c53-ae8c-ef267dfef2fc"/>
    <ds:schemaRef ds:uri="acbbbc1b-64ad-45f5-b216-4444116f9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B4BCF-5A93-4664-A4B5-D4E6F0063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49950-1A91-4597-A317-5DFE5B2A3EE6}">
  <ds:schemaRefs>
    <ds:schemaRef ds:uri="http://schemas.microsoft.com/office/2006/metadata/properties"/>
    <ds:schemaRef ds:uri="http://schemas.microsoft.com/office/infopath/2007/PartnerControls"/>
    <ds:schemaRef ds:uri="09ceed7c-2d79-4c53-ae8c-ef267dfef2fc"/>
    <ds:schemaRef ds:uri="acbbbc1b-64ad-45f5-b216-4444116f9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8542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 Willder</dc:creator>
  <cp:keywords/>
  <dc:description/>
  <cp:lastModifiedBy>Rhona Willder</cp:lastModifiedBy>
  <cp:revision>45</cp:revision>
  <dcterms:created xsi:type="dcterms:W3CDTF">2023-07-26T15:22:00Z</dcterms:created>
  <dcterms:modified xsi:type="dcterms:W3CDTF">2023-08-17T14:28:00Z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0x01010004B067600AA14F4F830CD3C809787141</vt:lpwstr>
  </property>
  <property fmtid="{D5CDD505-2E9C-101B-9397-08002B2CF9AE}" pid="3" name="MediaServiceImageTags">
    <vt:lpwstr/>
  </property>
</Properties>
</file>