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D286" w14:textId="77777777" w:rsidR="0046461C" w:rsidRPr="00115C07" w:rsidRDefault="00C665E3" w:rsidP="00115C07">
      <w:pPr>
        <w:jc w:val="center"/>
        <w:rPr>
          <w:rFonts w:ascii="Arial" w:hAnsi="Arial" w:cs="Arial"/>
          <w:b/>
          <w:bCs/>
          <w:iCs/>
        </w:rPr>
      </w:pPr>
      <w:r w:rsidRPr="00115C07">
        <w:rPr>
          <w:b/>
          <w:bCs/>
          <w:iCs/>
          <w:noProof/>
          <w:lang w:eastAsia="en-GB"/>
        </w:rPr>
        <w:drawing>
          <wp:anchor distT="0" distB="0" distL="114300" distR="114300" simplePos="0" relativeHeight="251659264" behindDoc="1" locked="0" layoutInCell="1" allowOverlap="1" wp14:anchorId="7B6A0215" wp14:editId="2CDEEB26">
            <wp:simplePos x="0" y="0"/>
            <wp:positionH relativeFrom="page">
              <wp:posOffset>4572000</wp:posOffset>
            </wp:positionH>
            <wp:positionV relativeFrom="page">
              <wp:posOffset>246380</wp:posOffset>
            </wp:positionV>
            <wp:extent cx="2477770" cy="617855"/>
            <wp:effectExtent l="0" t="0" r="0" b="0"/>
            <wp:wrapNone/>
            <wp:docPr id="1" name="Picture 1" descr="EdinurghNapier_letterhead_templa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nurghNapier_letterhead_template.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777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C07">
        <w:rPr>
          <w:rFonts w:ascii="Arial" w:hAnsi="Arial" w:cs="Arial"/>
          <w:b/>
          <w:bCs/>
          <w:iCs/>
        </w:rPr>
        <w:t>Privacy Notice</w:t>
      </w:r>
    </w:p>
    <w:p w14:paraId="2824366C" w14:textId="77777777" w:rsidR="00C665E3" w:rsidRPr="00115C07" w:rsidRDefault="00C665E3">
      <w:pPr>
        <w:rPr>
          <w:rFonts w:ascii="Arial" w:hAnsi="Arial" w:cs="Arial"/>
          <w:iCs/>
        </w:rPr>
      </w:pPr>
    </w:p>
    <w:p w14:paraId="6E848B17" w14:textId="77777777" w:rsidR="00115C07" w:rsidRDefault="00843AF4" w:rsidP="00CF51E7">
      <w:pPr>
        <w:jc w:val="center"/>
        <w:rPr>
          <w:rFonts w:ascii="Arial" w:eastAsia="Calibri" w:hAnsi="Arial" w:cs="Arial"/>
        </w:rPr>
      </w:pPr>
      <w:r w:rsidRPr="00FA6196">
        <w:rPr>
          <w:rFonts w:ascii="Arial" w:eastAsia="Calibri" w:hAnsi="Arial" w:cs="Arial"/>
          <w:b/>
        </w:rPr>
        <w:t>Name of Research Project</w:t>
      </w:r>
      <w:r w:rsidRPr="00FA6196">
        <w:rPr>
          <w:rFonts w:ascii="Arial" w:eastAsia="Calibri" w:hAnsi="Arial" w:cs="Arial"/>
        </w:rPr>
        <w:t xml:space="preserve">: </w:t>
      </w:r>
    </w:p>
    <w:p w14:paraId="6B5B22D0" w14:textId="43C5AEE8" w:rsidR="000635B0" w:rsidRPr="00CF51E7" w:rsidRDefault="00706488" w:rsidP="00CF51E7">
      <w:pPr>
        <w:jc w:val="center"/>
        <w:rPr>
          <w:rFonts w:ascii="Arial" w:hAnsi="Arial" w:cs="Arial"/>
          <w:b/>
          <w:bCs/>
        </w:rPr>
      </w:pPr>
      <w:r w:rsidRPr="00706488">
        <w:rPr>
          <w:rFonts w:ascii="Arial" w:eastAsia="Calibri" w:hAnsi="Arial" w:cs="Arial"/>
        </w:rPr>
        <w:t xml:space="preserve">An </w:t>
      </w:r>
      <w:r w:rsidR="00E522B7" w:rsidRPr="00706488">
        <w:rPr>
          <w:rFonts w:ascii="Arial" w:eastAsia="Calibri" w:hAnsi="Arial" w:cs="Arial"/>
        </w:rPr>
        <w:t>ex</w:t>
      </w:r>
      <w:r w:rsidR="00E522B7">
        <w:rPr>
          <w:rFonts w:ascii="Arial" w:eastAsia="Calibri" w:hAnsi="Arial" w:cs="Arial"/>
        </w:rPr>
        <w:t xml:space="preserve">ploration </w:t>
      </w:r>
      <w:r w:rsidRPr="00706488">
        <w:rPr>
          <w:rFonts w:ascii="Arial" w:eastAsia="Calibri" w:hAnsi="Arial" w:cs="Arial"/>
        </w:rPr>
        <w:t>of how meaningful participation by the adult at risk is facilitated within the adult protection case conference</w:t>
      </w:r>
      <w:r w:rsidR="00E04A11">
        <w:rPr>
          <w:rFonts w:ascii="Arial" w:eastAsia="Calibri" w:hAnsi="Arial" w:cs="Arial"/>
        </w:rPr>
        <w:t>.</w:t>
      </w:r>
    </w:p>
    <w:p w14:paraId="4C86895C" w14:textId="24770C82" w:rsidR="00843AF4" w:rsidRDefault="00843AF4" w:rsidP="00843AF4">
      <w:pPr>
        <w:spacing w:after="0" w:line="240" w:lineRule="auto"/>
        <w:rPr>
          <w:rFonts w:ascii="Arial" w:eastAsia="Calibri" w:hAnsi="Arial" w:cs="Arial"/>
        </w:rPr>
      </w:pPr>
    </w:p>
    <w:p w14:paraId="79CFABE4" w14:textId="77777777" w:rsidR="00EE74BD" w:rsidRDefault="00843AF4" w:rsidP="00675C90">
      <w:pPr>
        <w:rPr>
          <w:rFonts w:ascii="Arial" w:eastAsia="Calibri" w:hAnsi="Arial" w:cs="Arial"/>
        </w:rPr>
      </w:pPr>
      <w:r w:rsidRPr="00FA6196">
        <w:rPr>
          <w:rFonts w:ascii="Arial" w:eastAsia="Calibri" w:hAnsi="Arial" w:cs="Arial"/>
          <w:b/>
        </w:rPr>
        <w:t>Description of Project</w:t>
      </w:r>
      <w:r w:rsidRPr="00FA6196">
        <w:rPr>
          <w:rFonts w:ascii="Arial" w:eastAsia="Calibri" w:hAnsi="Arial" w:cs="Arial"/>
        </w:rPr>
        <w:t>:</w:t>
      </w:r>
      <w:r>
        <w:rPr>
          <w:rFonts w:ascii="Arial" w:eastAsia="Calibri" w:hAnsi="Arial" w:cs="Arial"/>
        </w:rPr>
        <w:t xml:space="preserve"> </w:t>
      </w:r>
    </w:p>
    <w:p w14:paraId="04049C12" w14:textId="41025F65" w:rsidR="00EE74BD" w:rsidRPr="007B3E93" w:rsidRDefault="00935B8A" w:rsidP="00675C90">
      <w:pPr>
        <w:rPr>
          <w:rFonts w:ascii="Arial" w:eastAsia="Calibri" w:hAnsi="Arial" w:cs="Arial"/>
        </w:rPr>
      </w:pPr>
      <w:r w:rsidRPr="007B3E93">
        <w:rPr>
          <w:rFonts w:ascii="Arial" w:hAnsi="Arial" w:cs="Arial"/>
        </w:rPr>
        <w:t>The aim of this research is to gain an In-depth understanding of how meaningful participation for the service user can be facilitated within the adult protection case conference</w:t>
      </w:r>
      <w:r w:rsidR="007B3E93" w:rsidRPr="007B3E93">
        <w:rPr>
          <w:rFonts w:ascii="Arial" w:hAnsi="Arial" w:cs="Arial"/>
        </w:rPr>
        <w:t>s.</w:t>
      </w:r>
    </w:p>
    <w:p w14:paraId="2C041015" w14:textId="7964AF68" w:rsidR="00EE74BD" w:rsidRPr="007B3E93" w:rsidRDefault="00D95237" w:rsidP="00675C90">
      <w:pPr>
        <w:rPr>
          <w:rFonts w:ascii="Arial" w:eastAsia="Calibri" w:hAnsi="Arial" w:cs="Arial"/>
        </w:rPr>
      </w:pPr>
      <w:r w:rsidRPr="007B3E93">
        <w:rPr>
          <w:rFonts w:ascii="Arial" w:hAnsi="Arial" w:cs="Arial"/>
        </w:rPr>
        <w:t>T</w:t>
      </w:r>
      <w:r w:rsidR="00EE74BD" w:rsidRPr="007B3E93">
        <w:rPr>
          <w:rFonts w:ascii="Arial" w:hAnsi="Arial" w:cs="Arial"/>
        </w:rPr>
        <w:t xml:space="preserve">he study will use </w:t>
      </w:r>
      <w:r w:rsidRPr="007B3E93">
        <w:rPr>
          <w:rFonts w:ascii="Arial" w:hAnsi="Arial" w:cs="Arial"/>
        </w:rPr>
        <w:t>semi-structured</w:t>
      </w:r>
      <w:r w:rsidR="00C344F4" w:rsidRPr="007B3E93">
        <w:rPr>
          <w:rFonts w:ascii="Arial" w:hAnsi="Arial" w:cs="Arial"/>
        </w:rPr>
        <w:t>,</w:t>
      </w:r>
      <w:r w:rsidRPr="007B3E93">
        <w:rPr>
          <w:rFonts w:ascii="Arial" w:hAnsi="Arial" w:cs="Arial"/>
        </w:rPr>
        <w:t xml:space="preserve"> qualitative interviews</w:t>
      </w:r>
      <w:r w:rsidR="00EE74BD" w:rsidRPr="007B3E93">
        <w:rPr>
          <w:rFonts w:ascii="Arial" w:hAnsi="Arial" w:cs="Arial"/>
        </w:rPr>
        <w:t xml:space="preserve">, field notes, and </w:t>
      </w:r>
      <w:r w:rsidRPr="007B3E93">
        <w:rPr>
          <w:rFonts w:ascii="Arial" w:hAnsi="Arial" w:cs="Arial"/>
        </w:rPr>
        <w:t xml:space="preserve">audio </w:t>
      </w:r>
      <w:r w:rsidR="00EE74BD" w:rsidRPr="007B3E93">
        <w:rPr>
          <w:rFonts w:ascii="Arial" w:hAnsi="Arial" w:cs="Arial"/>
        </w:rPr>
        <w:t>recording methods to collect data to answer the above question.</w:t>
      </w:r>
    </w:p>
    <w:p w14:paraId="0A2C67F4" w14:textId="77777777" w:rsidR="00843AF4" w:rsidRDefault="00843AF4" w:rsidP="00843AF4">
      <w:pPr>
        <w:spacing w:after="0" w:line="240" w:lineRule="auto"/>
        <w:rPr>
          <w:rFonts w:ascii="Arial" w:eastAsia="Times New Roman" w:hAnsi="Arial" w:cs="Arial"/>
        </w:rPr>
      </w:pPr>
    </w:p>
    <w:tbl>
      <w:tblPr>
        <w:tblStyle w:val="TableGrid"/>
        <w:tblW w:w="9851" w:type="dxa"/>
        <w:tblLook w:val="04A0" w:firstRow="1" w:lastRow="0" w:firstColumn="1" w:lastColumn="0" w:noHBand="0" w:noVBand="1"/>
      </w:tblPr>
      <w:tblGrid>
        <w:gridCol w:w="2684"/>
        <w:gridCol w:w="7167"/>
      </w:tblGrid>
      <w:tr w:rsidR="00C2652E" w:rsidRPr="008F32C6" w14:paraId="4CFB2C9E" w14:textId="77777777" w:rsidTr="00C2652E">
        <w:trPr>
          <w:trHeight w:val="551"/>
        </w:trPr>
        <w:tc>
          <w:tcPr>
            <w:tcW w:w="2684" w:type="dxa"/>
          </w:tcPr>
          <w:p w14:paraId="4247B5D1" w14:textId="77777777" w:rsidR="00C2652E" w:rsidRPr="008F32C6" w:rsidRDefault="00C2652E" w:rsidP="00546E35">
            <w:pPr>
              <w:autoSpaceDE w:val="0"/>
              <w:autoSpaceDN w:val="0"/>
              <w:adjustRightInd w:val="0"/>
              <w:rPr>
                <w:b/>
              </w:rPr>
            </w:pPr>
            <w:r w:rsidRPr="008F32C6">
              <w:rPr>
                <w:b/>
              </w:rPr>
              <w:t xml:space="preserve">Data Controller </w:t>
            </w:r>
          </w:p>
          <w:p w14:paraId="5416E1E6" w14:textId="77777777" w:rsidR="00C2652E" w:rsidRPr="008F32C6" w:rsidRDefault="00C2652E" w:rsidP="00546E35">
            <w:pPr>
              <w:rPr>
                <w:b/>
              </w:rPr>
            </w:pPr>
          </w:p>
        </w:tc>
        <w:tc>
          <w:tcPr>
            <w:tcW w:w="7167" w:type="dxa"/>
          </w:tcPr>
          <w:p w14:paraId="0CE51FA1" w14:textId="77777777" w:rsidR="00C2652E" w:rsidRPr="008F32C6" w:rsidRDefault="00C2652E" w:rsidP="00546E35">
            <w:pPr>
              <w:autoSpaceDE w:val="0"/>
              <w:autoSpaceDN w:val="0"/>
              <w:adjustRightInd w:val="0"/>
            </w:pPr>
            <w:r w:rsidRPr="008F32C6">
              <w:t xml:space="preserve">Edinburgh Napier University </w:t>
            </w:r>
          </w:p>
        </w:tc>
      </w:tr>
      <w:tr w:rsidR="00C2652E" w:rsidRPr="008F32C6" w14:paraId="0759733B" w14:textId="77777777" w:rsidTr="00C2652E">
        <w:trPr>
          <w:trHeight w:val="1928"/>
        </w:trPr>
        <w:tc>
          <w:tcPr>
            <w:tcW w:w="2684" w:type="dxa"/>
          </w:tcPr>
          <w:p w14:paraId="5AEB8E07" w14:textId="77777777" w:rsidR="00C2652E" w:rsidRPr="008F32C6" w:rsidRDefault="00C2652E" w:rsidP="00546E35">
            <w:pPr>
              <w:autoSpaceDE w:val="0"/>
              <w:autoSpaceDN w:val="0"/>
              <w:adjustRightInd w:val="0"/>
              <w:rPr>
                <w:b/>
              </w:rPr>
            </w:pPr>
            <w:r w:rsidRPr="008F32C6">
              <w:rPr>
                <w:b/>
              </w:rPr>
              <w:t>Purposes for</w:t>
            </w:r>
          </w:p>
          <w:p w14:paraId="19B47A36" w14:textId="77777777" w:rsidR="00C2652E" w:rsidRPr="008F32C6" w:rsidRDefault="00C2652E" w:rsidP="00546E35">
            <w:pPr>
              <w:rPr>
                <w:b/>
              </w:rPr>
            </w:pPr>
            <w:r w:rsidRPr="008F32C6">
              <w:rPr>
                <w:b/>
              </w:rPr>
              <w:t>collection/processing</w:t>
            </w:r>
          </w:p>
        </w:tc>
        <w:tc>
          <w:tcPr>
            <w:tcW w:w="7167" w:type="dxa"/>
          </w:tcPr>
          <w:p w14:paraId="11B58C8B" w14:textId="5620F63F" w:rsidR="00813263" w:rsidRPr="002472A7" w:rsidRDefault="00C2652E" w:rsidP="00813263">
            <w:r>
              <w:t xml:space="preserve">To understand </w:t>
            </w:r>
            <w:r w:rsidR="000A2AB2">
              <w:t>h</w:t>
            </w:r>
            <w:r w:rsidR="0082194E">
              <w:t xml:space="preserve">ow </w:t>
            </w:r>
            <w:r w:rsidR="009608ED">
              <w:t>service users</w:t>
            </w:r>
            <w:r w:rsidR="0082194E">
              <w:t xml:space="preserve"> are </w:t>
            </w:r>
            <w:r w:rsidR="00813263">
              <w:t xml:space="preserve">being </w:t>
            </w:r>
            <w:r w:rsidR="0082194E">
              <w:t xml:space="preserve">supported to participate in </w:t>
            </w:r>
            <w:r w:rsidR="00813263">
              <w:t>adult protection case conferences</w:t>
            </w:r>
            <w:r w:rsidR="00C8468A">
              <w:t xml:space="preserve">. </w:t>
            </w:r>
            <w:r w:rsidR="00257C7A">
              <w:t xml:space="preserve">Collecting </w:t>
            </w:r>
            <w:r w:rsidR="009E3BC3">
              <w:t xml:space="preserve">the views and experiences of </w:t>
            </w:r>
            <w:r w:rsidR="00257C7A">
              <w:t>professionals and service users will inform this understanding.</w:t>
            </w:r>
          </w:p>
          <w:p w14:paraId="6DD45F50" w14:textId="19F716F6" w:rsidR="00C2652E" w:rsidRPr="002472A7" w:rsidRDefault="00C2652E" w:rsidP="0082194E"/>
        </w:tc>
      </w:tr>
      <w:tr w:rsidR="00C2652E" w:rsidRPr="008F32C6" w14:paraId="28C101C2" w14:textId="77777777" w:rsidTr="00C2652E">
        <w:trPr>
          <w:trHeight w:val="4971"/>
        </w:trPr>
        <w:tc>
          <w:tcPr>
            <w:tcW w:w="2684" w:type="dxa"/>
          </w:tcPr>
          <w:p w14:paraId="0DA658F5" w14:textId="77777777" w:rsidR="00C2652E" w:rsidRPr="008F32C6" w:rsidRDefault="00C2652E" w:rsidP="00546E35">
            <w:pPr>
              <w:rPr>
                <w:b/>
              </w:rPr>
            </w:pPr>
            <w:r w:rsidRPr="008F32C6">
              <w:rPr>
                <w:b/>
              </w:rPr>
              <w:t>Legal basis</w:t>
            </w:r>
          </w:p>
        </w:tc>
        <w:tc>
          <w:tcPr>
            <w:tcW w:w="7167" w:type="dxa"/>
          </w:tcPr>
          <w:p w14:paraId="41AF5D29" w14:textId="0A73DC8E" w:rsidR="00C2652E" w:rsidRPr="00B85951" w:rsidRDefault="00C2652E" w:rsidP="00546E35">
            <w:pPr>
              <w:autoSpaceDE w:val="0"/>
              <w:autoSpaceDN w:val="0"/>
              <w:adjustRightInd w:val="0"/>
              <w:rPr>
                <w:i/>
              </w:rPr>
            </w:pPr>
            <w:r>
              <w:rPr>
                <w:bCs/>
              </w:rPr>
              <w:t>U</w:t>
            </w:r>
            <w:r w:rsidRPr="00126042">
              <w:rPr>
                <w:bCs/>
              </w:rPr>
              <w:t xml:space="preserve">nder </w:t>
            </w:r>
            <w:r w:rsidRPr="00126042">
              <w:t>Art</w:t>
            </w:r>
            <w:r>
              <w:t>icle</w:t>
            </w:r>
            <w:r w:rsidRPr="00126042">
              <w:t xml:space="preserve"> 6(1)(a) or Art</w:t>
            </w:r>
            <w:r>
              <w:t>icle</w:t>
            </w:r>
            <w:r w:rsidRPr="00126042">
              <w:t xml:space="preserve"> 9(2)(a)</w:t>
            </w:r>
            <w:r>
              <w:t xml:space="preserve">, </w:t>
            </w:r>
            <w:r w:rsidRPr="008F32C6">
              <w:rPr>
                <w:bCs/>
              </w:rPr>
              <w:t xml:space="preserve">of the General Data Protection Regulation (as the legal basis for processing data) Edinburgh Napier University </w:t>
            </w:r>
            <w:r w:rsidRPr="008F32C6">
              <w:t xml:space="preserve">is the data controller and the legal basis for this study is that you have given explicit consent to take part. You have been advised of your right to withdraw consent at any time and how to do this. </w:t>
            </w:r>
          </w:p>
          <w:p w14:paraId="2F7B5036" w14:textId="22207460" w:rsidR="00C2652E" w:rsidRPr="008F32C6" w:rsidRDefault="00C2652E" w:rsidP="00CF7205">
            <w:pPr>
              <w:pStyle w:val="NormalWeb"/>
            </w:pPr>
            <w:r w:rsidRPr="00126042">
              <w:rPr>
                <w:rFonts w:ascii="Arial" w:hAnsi="Arial" w:cs="Arial"/>
                <w:color w:val="000000"/>
              </w:rPr>
              <w:t>Under Article 9 (</w:t>
            </w:r>
            <w:r>
              <w:rPr>
                <w:rFonts w:ascii="Arial" w:hAnsi="Arial" w:cs="Arial"/>
                <w:color w:val="000000"/>
              </w:rPr>
              <w:t>2</w:t>
            </w:r>
            <w:r w:rsidRPr="00126042">
              <w:rPr>
                <w:rFonts w:ascii="Arial" w:hAnsi="Arial" w:cs="Arial"/>
                <w:color w:val="000000"/>
              </w:rPr>
              <w:t>)</w:t>
            </w:r>
            <w:r>
              <w:rPr>
                <w:rFonts w:ascii="Arial" w:hAnsi="Arial" w:cs="Arial"/>
                <w:color w:val="000000"/>
              </w:rPr>
              <w:t>(a) t</w:t>
            </w:r>
            <w:r w:rsidRPr="00126042">
              <w:rPr>
                <w:rFonts w:ascii="Arial" w:hAnsi="Arial" w:cs="Arial"/>
                <w:color w:val="000000"/>
              </w:rPr>
              <w:t>here is the potential that sensitive personal data may be disclosed as part of the interview process. To minimise risk these interviews will be anonymised</w:t>
            </w:r>
            <w:r w:rsidR="007E3BE6">
              <w:rPr>
                <w:rFonts w:ascii="Arial" w:hAnsi="Arial" w:cs="Arial"/>
                <w:color w:val="000000"/>
              </w:rPr>
              <w:t xml:space="preserve"> </w:t>
            </w:r>
            <w:r w:rsidR="00CF7205" w:rsidRPr="00B17071">
              <w:rPr>
                <w:rFonts w:ascii="Arial" w:hAnsi="Arial" w:cs="Arial"/>
              </w:rPr>
              <w:t>(</w:t>
            </w:r>
            <w:r w:rsidR="007E3BE6" w:rsidRPr="00B17071">
              <w:rPr>
                <w:rFonts w:ascii="Arial" w:hAnsi="Arial" w:cs="Arial"/>
              </w:rPr>
              <w:t>with a unique identifier</w:t>
            </w:r>
            <w:r w:rsidR="00755110" w:rsidRPr="00B17071">
              <w:rPr>
                <w:rFonts w:ascii="Arial" w:hAnsi="Arial" w:cs="Arial"/>
              </w:rPr>
              <w:t xml:space="preserve"> with no identifying details</w:t>
            </w:r>
            <w:r w:rsidR="00CF7205" w:rsidRPr="00B17071">
              <w:rPr>
                <w:rFonts w:ascii="Arial" w:hAnsi="Arial" w:cs="Arial"/>
              </w:rPr>
              <w:t>)</w:t>
            </w:r>
            <w:r w:rsidRPr="00B17071">
              <w:rPr>
                <w:rFonts w:ascii="Arial" w:hAnsi="Arial" w:cs="Arial"/>
              </w:rPr>
              <w:t xml:space="preserve"> </w:t>
            </w:r>
            <w:r w:rsidRPr="00126042">
              <w:rPr>
                <w:rFonts w:ascii="Arial" w:hAnsi="Arial" w:cs="Arial"/>
                <w:color w:val="000000"/>
              </w:rPr>
              <w:t>when transcribed and then when verified</w:t>
            </w:r>
            <w:r w:rsidR="00814C52">
              <w:rPr>
                <w:rFonts w:ascii="Arial" w:hAnsi="Arial" w:cs="Arial"/>
                <w:color w:val="000000"/>
              </w:rPr>
              <w:t>,</w:t>
            </w:r>
            <w:r w:rsidRPr="00126042">
              <w:rPr>
                <w:rFonts w:ascii="Arial" w:hAnsi="Arial" w:cs="Arial"/>
                <w:color w:val="000000"/>
              </w:rPr>
              <w:t xml:space="preserve"> the recording </w:t>
            </w:r>
            <w:r w:rsidR="002467B7">
              <w:rPr>
                <w:rFonts w:ascii="Arial" w:hAnsi="Arial" w:cs="Arial"/>
                <w:color w:val="000000"/>
              </w:rPr>
              <w:t xml:space="preserve">will be </w:t>
            </w:r>
            <w:r w:rsidRPr="00126042">
              <w:rPr>
                <w:rFonts w:ascii="Arial" w:hAnsi="Arial" w:cs="Arial"/>
                <w:color w:val="000000"/>
              </w:rPr>
              <w:t xml:space="preserve">destroyed. All electronic data such as the recordings will be held on the secure and backed up university secure server. </w:t>
            </w:r>
            <w:r w:rsidR="00CF7205" w:rsidRPr="002467B7">
              <w:rPr>
                <w:rFonts w:ascii="Arial" w:hAnsi="Arial" w:cs="Arial"/>
              </w:rPr>
              <w:t xml:space="preserve">Only the </w:t>
            </w:r>
            <w:r w:rsidR="007816EE" w:rsidRPr="002467B7">
              <w:rPr>
                <w:rFonts w:ascii="Arial" w:hAnsi="Arial" w:cs="Arial"/>
              </w:rPr>
              <w:t>researcher and her supervisory team wi</w:t>
            </w:r>
            <w:r w:rsidR="00CF7205" w:rsidRPr="002467B7">
              <w:rPr>
                <w:rFonts w:ascii="Arial" w:hAnsi="Arial" w:cs="Arial"/>
              </w:rPr>
              <w:t>ll have access to th</w:t>
            </w:r>
            <w:r w:rsidR="001940D7" w:rsidRPr="002467B7">
              <w:rPr>
                <w:rFonts w:ascii="Arial" w:hAnsi="Arial" w:cs="Arial"/>
              </w:rPr>
              <w:t>ese transcriptions</w:t>
            </w:r>
          </w:p>
        </w:tc>
      </w:tr>
      <w:tr w:rsidR="00C2652E" w:rsidRPr="008F32C6" w14:paraId="27B5EBB3" w14:textId="77777777" w:rsidTr="00C2652E">
        <w:trPr>
          <w:trHeight w:val="551"/>
        </w:trPr>
        <w:tc>
          <w:tcPr>
            <w:tcW w:w="2684" w:type="dxa"/>
          </w:tcPr>
          <w:p w14:paraId="0F6D36A9" w14:textId="77777777" w:rsidR="00C2652E" w:rsidRPr="008F32C6" w:rsidRDefault="00C2652E" w:rsidP="00546E35">
            <w:pPr>
              <w:autoSpaceDE w:val="0"/>
              <w:autoSpaceDN w:val="0"/>
              <w:adjustRightInd w:val="0"/>
              <w:rPr>
                <w:b/>
              </w:rPr>
            </w:pPr>
            <w:r w:rsidRPr="008F32C6">
              <w:rPr>
                <w:b/>
              </w:rPr>
              <w:t>Whose information is being collected</w:t>
            </w:r>
          </w:p>
        </w:tc>
        <w:tc>
          <w:tcPr>
            <w:tcW w:w="7167" w:type="dxa"/>
          </w:tcPr>
          <w:p w14:paraId="6BD6BA4C" w14:textId="1C5C7F48" w:rsidR="00C2652E" w:rsidRPr="00FB2CD4" w:rsidRDefault="001348EE" w:rsidP="00546E35">
            <w:r w:rsidRPr="00FB2CD4">
              <w:t xml:space="preserve">Adult Protection </w:t>
            </w:r>
            <w:r w:rsidR="00E13681" w:rsidRPr="00FB2CD4">
              <w:t>professionals</w:t>
            </w:r>
            <w:r w:rsidR="009B0581" w:rsidRPr="00FB2CD4">
              <w:t>, advocacy workers</w:t>
            </w:r>
            <w:r w:rsidRPr="00FB2CD4">
              <w:t xml:space="preserve"> and </w:t>
            </w:r>
            <w:r w:rsidR="00AA31CB" w:rsidRPr="00FB2CD4">
              <w:t>s</w:t>
            </w:r>
            <w:r w:rsidRPr="00FB2CD4">
              <w:t xml:space="preserve">ervice </w:t>
            </w:r>
            <w:r w:rsidR="00AA31CB" w:rsidRPr="00FB2CD4">
              <w:t>u</w:t>
            </w:r>
            <w:r w:rsidRPr="00FB2CD4">
              <w:t xml:space="preserve">sers </w:t>
            </w:r>
            <w:r w:rsidR="00E85760" w:rsidRPr="00FB2CD4">
              <w:t xml:space="preserve">who have </w:t>
            </w:r>
            <w:r w:rsidR="009A32FD" w:rsidRPr="00FB2CD4">
              <w:t xml:space="preserve">attended </w:t>
            </w:r>
            <w:r w:rsidR="005967C8" w:rsidRPr="00FB2CD4">
              <w:t>a</w:t>
            </w:r>
            <w:r w:rsidR="009A32FD" w:rsidRPr="00FB2CD4">
              <w:t xml:space="preserve">dult </w:t>
            </w:r>
            <w:r w:rsidR="005967C8" w:rsidRPr="00FB2CD4">
              <w:t>p</w:t>
            </w:r>
            <w:r w:rsidR="009A32FD" w:rsidRPr="00FB2CD4">
              <w:t>rotection case conferences</w:t>
            </w:r>
            <w:r w:rsidR="00C8468A" w:rsidRPr="00FB2CD4">
              <w:t>.</w:t>
            </w:r>
          </w:p>
        </w:tc>
      </w:tr>
      <w:tr w:rsidR="00C2652E" w:rsidRPr="008F32C6" w14:paraId="61F73D4A" w14:textId="77777777" w:rsidTr="00C2652E">
        <w:trPr>
          <w:trHeight w:val="1102"/>
        </w:trPr>
        <w:tc>
          <w:tcPr>
            <w:tcW w:w="2684" w:type="dxa"/>
          </w:tcPr>
          <w:p w14:paraId="091FEFB2" w14:textId="77777777" w:rsidR="00C2652E" w:rsidRPr="008F32C6" w:rsidRDefault="00C2652E" w:rsidP="00546E35">
            <w:pPr>
              <w:autoSpaceDE w:val="0"/>
              <w:autoSpaceDN w:val="0"/>
              <w:adjustRightInd w:val="0"/>
              <w:rPr>
                <w:b/>
              </w:rPr>
            </w:pPr>
            <w:r w:rsidRPr="008F32C6">
              <w:rPr>
                <w:b/>
              </w:rPr>
              <w:t>What type/classes/fields of information are collected</w:t>
            </w:r>
          </w:p>
        </w:tc>
        <w:tc>
          <w:tcPr>
            <w:tcW w:w="7167" w:type="dxa"/>
          </w:tcPr>
          <w:p w14:paraId="293B45F3" w14:textId="3B123152" w:rsidR="00C2652E" w:rsidRPr="00FB2CD4" w:rsidRDefault="00F83BE9" w:rsidP="00546E35">
            <w:pPr>
              <w:autoSpaceDE w:val="0"/>
              <w:autoSpaceDN w:val="0"/>
              <w:adjustRightInd w:val="0"/>
            </w:pPr>
            <w:r w:rsidRPr="00FB2CD4">
              <w:t xml:space="preserve">Qualitative information about views and experiences of adult protection case conference meetings.  </w:t>
            </w:r>
            <w:r w:rsidR="00D9701B" w:rsidRPr="00FB2CD4">
              <w:t>Professionals</w:t>
            </w:r>
            <w:r w:rsidR="00D17822" w:rsidRPr="00FB2CD4">
              <w:t xml:space="preserve">, advocacy workers </w:t>
            </w:r>
            <w:r w:rsidR="00D9701B" w:rsidRPr="00FB2CD4">
              <w:t xml:space="preserve">and Services Users </w:t>
            </w:r>
            <w:r w:rsidR="00FB78BA" w:rsidRPr="00FB2CD4">
              <w:t xml:space="preserve">will be distinct </w:t>
            </w:r>
            <w:r w:rsidR="0090011B" w:rsidRPr="00FB2CD4">
              <w:t xml:space="preserve">participant </w:t>
            </w:r>
            <w:r w:rsidR="0014757D" w:rsidRPr="00FB2CD4">
              <w:t>groupings</w:t>
            </w:r>
            <w:r w:rsidR="00D17822" w:rsidRPr="00FB2CD4">
              <w:t>.</w:t>
            </w:r>
          </w:p>
        </w:tc>
      </w:tr>
      <w:tr w:rsidR="00C2652E" w:rsidRPr="008F32C6" w14:paraId="716FB4B4" w14:textId="77777777" w:rsidTr="00FB2CD4">
        <w:trPr>
          <w:trHeight w:val="551"/>
        </w:trPr>
        <w:tc>
          <w:tcPr>
            <w:tcW w:w="2684" w:type="dxa"/>
            <w:shd w:val="clear" w:color="auto" w:fill="auto"/>
          </w:tcPr>
          <w:p w14:paraId="64F71AB2" w14:textId="77777777" w:rsidR="00C2652E" w:rsidRPr="00FB2CD4" w:rsidRDefault="00C2652E" w:rsidP="00546E35">
            <w:pPr>
              <w:autoSpaceDE w:val="0"/>
              <w:autoSpaceDN w:val="0"/>
              <w:adjustRightInd w:val="0"/>
              <w:rPr>
                <w:b/>
              </w:rPr>
            </w:pPr>
            <w:r w:rsidRPr="00FB2CD4">
              <w:rPr>
                <w:b/>
              </w:rPr>
              <w:lastRenderedPageBreak/>
              <w:t>Who is the information being collected from</w:t>
            </w:r>
          </w:p>
        </w:tc>
        <w:tc>
          <w:tcPr>
            <w:tcW w:w="7167" w:type="dxa"/>
            <w:shd w:val="clear" w:color="auto" w:fill="auto"/>
          </w:tcPr>
          <w:p w14:paraId="76C7FE32" w14:textId="21AB9FB0" w:rsidR="00C2652E" w:rsidRPr="00FB2CD4" w:rsidRDefault="00C2652E" w:rsidP="00546E35">
            <w:pPr>
              <w:autoSpaceDE w:val="0"/>
              <w:autoSpaceDN w:val="0"/>
              <w:adjustRightInd w:val="0"/>
            </w:pPr>
            <w:r w:rsidRPr="00FB2CD4">
              <w:t xml:space="preserve">Data is being collected directly from </w:t>
            </w:r>
            <w:r w:rsidR="00D75CA3" w:rsidRPr="00FB2CD4">
              <w:t xml:space="preserve">the </w:t>
            </w:r>
            <w:r w:rsidRPr="00FB2CD4">
              <w:t>study</w:t>
            </w:r>
            <w:r w:rsidR="00D75CA3" w:rsidRPr="00FB2CD4">
              <w:t xml:space="preserve"> participant</w:t>
            </w:r>
            <w:r w:rsidR="0090392D" w:rsidRPr="00FB2CD4">
              <w:t>s</w:t>
            </w:r>
          </w:p>
        </w:tc>
      </w:tr>
      <w:tr w:rsidR="00C2652E" w:rsidRPr="008F32C6" w14:paraId="482A8FBB" w14:textId="77777777" w:rsidTr="00FB2CD4">
        <w:trPr>
          <w:trHeight w:val="1402"/>
        </w:trPr>
        <w:tc>
          <w:tcPr>
            <w:tcW w:w="2684" w:type="dxa"/>
            <w:shd w:val="clear" w:color="auto" w:fill="auto"/>
          </w:tcPr>
          <w:p w14:paraId="657456FF" w14:textId="7CCA4B75" w:rsidR="00C2652E" w:rsidRPr="00FB2CD4" w:rsidRDefault="00C2652E" w:rsidP="00546E35">
            <w:pPr>
              <w:autoSpaceDE w:val="0"/>
              <w:autoSpaceDN w:val="0"/>
              <w:adjustRightInd w:val="0"/>
              <w:rPr>
                <w:b/>
              </w:rPr>
            </w:pPr>
            <w:r w:rsidRPr="00FB2CD4">
              <w:rPr>
                <w:b/>
              </w:rPr>
              <w:t>How is the information being collected</w:t>
            </w:r>
          </w:p>
        </w:tc>
        <w:tc>
          <w:tcPr>
            <w:tcW w:w="7167" w:type="dxa"/>
            <w:shd w:val="clear" w:color="auto" w:fill="auto"/>
          </w:tcPr>
          <w:p w14:paraId="40FF2786" w14:textId="295B17A0" w:rsidR="00C2652E" w:rsidRPr="00FB2CD4" w:rsidRDefault="00D17822" w:rsidP="001524E8">
            <w:pPr>
              <w:autoSpaceDE w:val="0"/>
              <w:autoSpaceDN w:val="0"/>
              <w:adjustRightInd w:val="0"/>
            </w:pPr>
            <w:r w:rsidRPr="00FB2CD4">
              <w:t>Both i</w:t>
            </w:r>
            <w:r w:rsidR="00C2652E" w:rsidRPr="00FB2CD4">
              <w:t>n</w:t>
            </w:r>
            <w:r w:rsidRPr="00FB2CD4">
              <w:t>-</w:t>
            </w:r>
            <w:r w:rsidR="00C2652E" w:rsidRPr="00FB2CD4">
              <w:t xml:space="preserve">person </w:t>
            </w:r>
            <w:r w:rsidR="001524E8" w:rsidRPr="00FB2CD4">
              <w:t xml:space="preserve">and Microsoft Teams interviews </w:t>
            </w:r>
            <w:r w:rsidR="00C2652E" w:rsidRPr="00FB2CD4">
              <w:t>will be recorded using an encrypted audio recorder</w:t>
            </w:r>
            <w:r w:rsidR="001524E8" w:rsidRPr="00FB2CD4">
              <w:t>.</w:t>
            </w:r>
          </w:p>
          <w:p w14:paraId="5977E167" w14:textId="77777777" w:rsidR="00C2652E" w:rsidRPr="00FB2CD4" w:rsidRDefault="00C2652E" w:rsidP="00546E35">
            <w:pPr>
              <w:autoSpaceDE w:val="0"/>
              <w:autoSpaceDN w:val="0"/>
              <w:adjustRightInd w:val="0"/>
            </w:pPr>
          </w:p>
          <w:p w14:paraId="670F11CB" w14:textId="0DA28D06" w:rsidR="00C2652E" w:rsidRPr="00FB2CD4" w:rsidRDefault="00C2652E" w:rsidP="00546E35">
            <w:pPr>
              <w:autoSpaceDE w:val="0"/>
              <w:autoSpaceDN w:val="0"/>
              <w:adjustRightInd w:val="0"/>
            </w:pPr>
          </w:p>
        </w:tc>
      </w:tr>
      <w:tr w:rsidR="00C2652E" w:rsidRPr="008F32C6" w14:paraId="651E8767" w14:textId="77777777" w:rsidTr="00C2652E">
        <w:trPr>
          <w:trHeight w:val="826"/>
        </w:trPr>
        <w:tc>
          <w:tcPr>
            <w:tcW w:w="2684" w:type="dxa"/>
          </w:tcPr>
          <w:p w14:paraId="23D8E3DC" w14:textId="77777777" w:rsidR="00C2652E" w:rsidRPr="008F32C6" w:rsidRDefault="00C2652E" w:rsidP="00546E35">
            <w:pPr>
              <w:autoSpaceDE w:val="0"/>
              <w:autoSpaceDN w:val="0"/>
              <w:adjustRightInd w:val="0"/>
              <w:rPr>
                <w:b/>
              </w:rPr>
            </w:pPr>
            <w:r w:rsidRPr="008F32C6">
              <w:rPr>
                <w:b/>
              </w:rPr>
              <w:t>Is personal data shared externally</w:t>
            </w:r>
          </w:p>
        </w:tc>
        <w:tc>
          <w:tcPr>
            <w:tcW w:w="7167" w:type="dxa"/>
          </w:tcPr>
          <w:p w14:paraId="2B28DD8C" w14:textId="749834AB" w:rsidR="00E33E8C" w:rsidRPr="005B07CA" w:rsidRDefault="005B07CA" w:rsidP="00546E35">
            <w:pPr>
              <w:pStyle w:val="xmsonormal"/>
              <w:spacing w:before="0" w:beforeAutospacing="0" w:after="0" w:afterAutospacing="0"/>
              <w:rPr>
                <w:rFonts w:ascii="Arial" w:hAnsi="Arial" w:cs="Arial"/>
              </w:rPr>
            </w:pPr>
            <w:r w:rsidRPr="005B07CA">
              <w:rPr>
                <w:rFonts w:ascii="Arial" w:hAnsi="Arial" w:cs="Arial"/>
              </w:rPr>
              <w:t xml:space="preserve">Personal data will not be shared externally. The data will be deleted </w:t>
            </w:r>
            <w:r w:rsidR="00D17822">
              <w:rPr>
                <w:rFonts w:ascii="Arial" w:hAnsi="Arial" w:cs="Arial"/>
              </w:rPr>
              <w:t>from</w:t>
            </w:r>
            <w:r w:rsidRPr="005B07CA">
              <w:rPr>
                <w:rFonts w:ascii="Arial" w:hAnsi="Arial" w:cs="Arial"/>
              </w:rPr>
              <w:t xml:space="preserve"> MS Teams as soon as it has been downloaded and saved to the university secure drive</w:t>
            </w:r>
            <w:r w:rsidR="00D17822">
              <w:rPr>
                <w:rFonts w:ascii="Arial" w:hAnsi="Arial" w:cs="Arial"/>
              </w:rPr>
              <w:t>.</w:t>
            </w:r>
            <w:r w:rsidRPr="005B07CA">
              <w:rPr>
                <w:rFonts w:ascii="Arial" w:hAnsi="Arial" w:cs="Arial"/>
              </w:rPr>
              <w:t xml:space="preserve"> Research findings will be presented at relevant conferences and published in an academic journal, but this information will be non-identifiable and will not contain any personal information or details.</w:t>
            </w:r>
          </w:p>
          <w:p w14:paraId="52AA2A1D" w14:textId="1BFB5719" w:rsidR="00C2652E" w:rsidRPr="00F73A79" w:rsidRDefault="00C2652E" w:rsidP="00546E35">
            <w:pPr>
              <w:pStyle w:val="xmsonormal"/>
              <w:spacing w:before="0" w:beforeAutospacing="0" w:after="0" w:afterAutospacing="0"/>
              <w:rPr>
                <w:rFonts w:ascii="Arial" w:hAnsi="Arial" w:cs="Arial"/>
              </w:rPr>
            </w:pPr>
          </w:p>
        </w:tc>
      </w:tr>
      <w:tr w:rsidR="00C2652E" w:rsidRPr="008F32C6" w14:paraId="4B8814FA" w14:textId="77777777" w:rsidTr="00C2652E">
        <w:trPr>
          <w:trHeight w:val="1928"/>
        </w:trPr>
        <w:tc>
          <w:tcPr>
            <w:tcW w:w="2684" w:type="dxa"/>
          </w:tcPr>
          <w:p w14:paraId="5F3D77B2" w14:textId="77777777" w:rsidR="00C2652E" w:rsidRPr="008F32C6" w:rsidRDefault="00C2652E" w:rsidP="00546E35">
            <w:pPr>
              <w:autoSpaceDE w:val="0"/>
              <w:autoSpaceDN w:val="0"/>
              <w:adjustRightInd w:val="0"/>
              <w:rPr>
                <w:b/>
              </w:rPr>
            </w:pPr>
            <w:r w:rsidRPr="008F32C6">
              <w:rPr>
                <w:b/>
              </w:rPr>
              <w:t>How secure is the information</w:t>
            </w:r>
          </w:p>
        </w:tc>
        <w:tc>
          <w:tcPr>
            <w:tcW w:w="7167" w:type="dxa"/>
          </w:tcPr>
          <w:p w14:paraId="5425DC7A" w14:textId="5CB77C45" w:rsidR="00C2652E" w:rsidRPr="008F32C6" w:rsidRDefault="00C2652E" w:rsidP="00546E35">
            <w:pPr>
              <w:autoSpaceDE w:val="0"/>
              <w:autoSpaceDN w:val="0"/>
              <w:adjustRightInd w:val="0"/>
            </w:pPr>
            <w:r w:rsidRPr="008F32C6">
              <w:t xml:space="preserve">Data will be stored on the University’s secure data centres. These datacentres are resilient and feature access controls, environmental monitoring, backup power supplies and redundant hardware. Information on these servers is backed up regularly. The University has various data protection and information security policies and procedures to ensure that appropriate organisational and technical measures are in place to protect the privacy </w:t>
            </w:r>
            <w:r w:rsidR="00F81B63">
              <w:t>and</w:t>
            </w:r>
            <w:r w:rsidRPr="008F32C6">
              <w:t xml:space="preserve"> personal data.</w:t>
            </w:r>
          </w:p>
        </w:tc>
      </w:tr>
      <w:tr w:rsidR="00C2652E" w:rsidRPr="008F32C6" w14:paraId="5ED10CDA" w14:textId="77777777" w:rsidTr="00C2652E">
        <w:trPr>
          <w:trHeight w:val="826"/>
        </w:trPr>
        <w:tc>
          <w:tcPr>
            <w:tcW w:w="2684" w:type="dxa"/>
          </w:tcPr>
          <w:p w14:paraId="3E99A0CC" w14:textId="77777777" w:rsidR="00C2652E" w:rsidRPr="008F32C6" w:rsidRDefault="00C2652E" w:rsidP="00546E35">
            <w:pPr>
              <w:autoSpaceDE w:val="0"/>
              <w:autoSpaceDN w:val="0"/>
              <w:adjustRightInd w:val="0"/>
              <w:rPr>
                <w:b/>
              </w:rPr>
            </w:pPr>
            <w:r w:rsidRPr="008F32C6">
              <w:rPr>
                <w:b/>
              </w:rPr>
              <w:t>Who keeps the information updated</w:t>
            </w:r>
          </w:p>
        </w:tc>
        <w:tc>
          <w:tcPr>
            <w:tcW w:w="7167" w:type="dxa"/>
          </w:tcPr>
          <w:p w14:paraId="26BA941E" w14:textId="6EA62DB6" w:rsidR="00C2652E" w:rsidRPr="008F32C6" w:rsidRDefault="00C2652E" w:rsidP="00546E35">
            <w:pPr>
              <w:autoSpaceDE w:val="0"/>
              <w:autoSpaceDN w:val="0"/>
              <w:adjustRightInd w:val="0"/>
            </w:pPr>
            <w:r w:rsidRPr="008F32C6">
              <w:t xml:space="preserve">The </w:t>
            </w:r>
            <w:r w:rsidR="006D6158">
              <w:t xml:space="preserve">doctoral candidate </w:t>
            </w:r>
            <w:r>
              <w:t>(</w:t>
            </w:r>
            <w:r w:rsidR="00867BD5">
              <w:t>Kate Fennell</w:t>
            </w:r>
            <w:r>
              <w:t>)</w:t>
            </w:r>
            <w:r w:rsidRPr="008F32C6">
              <w:t xml:space="preserve"> is responsible for keeping the study information updated</w:t>
            </w:r>
            <w:r w:rsidR="00A177A4">
              <w:t xml:space="preserve"> and</w:t>
            </w:r>
            <w:r w:rsidRPr="008F32C6">
              <w:t xml:space="preserve"> will ensure that data is destroyed</w:t>
            </w:r>
            <w:r w:rsidR="00EF66C8">
              <w:t xml:space="preserve"> if requested by the participant and at the end of the study</w:t>
            </w:r>
          </w:p>
        </w:tc>
      </w:tr>
      <w:tr w:rsidR="00C2652E" w:rsidRPr="008F32C6" w14:paraId="5F4B084E" w14:textId="77777777" w:rsidTr="00C2652E">
        <w:trPr>
          <w:trHeight w:val="2755"/>
        </w:trPr>
        <w:tc>
          <w:tcPr>
            <w:tcW w:w="2684" w:type="dxa"/>
          </w:tcPr>
          <w:p w14:paraId="14E6EBC1" w14:textId="77777777" w:rsidR="00C2652E" w:rsidRPr="008F32C6" w:rsidRDefault="00C2652E" w:rsidP="00546E35">
            <w:pPr>
              <w:autoSpaceDE w:val="0"/>
              <w:autoSpaceDN w:val="0"/>
              <w:adjustRightInd w:val="0"/>
              <w:rPr>
                <w:b/>
              </w:rPr>
            </w:pPr>
            <w:r w:rsidRPr="008F32C6">
              <w:rPr>
                <w:b/>
              </w:rPr>
              <w:t>How long is the information kept for</w:t>
            </w:r>
          </w:p>
        </w:tc>
        <w:tc>
          <w:tcPr>
            <w:tcW w:w="7167" w:type="dxa"/>
          </w:tcPr>
          <w:p w14:paraId="79EEF572" w14:textId="5545E071" w:rsidR="00C2652E" w:rsidRPr="008F32C6" w:rsidRDefault="00C2652E" w:rsidP="00546E35">
            <w:r w:rsidRPr="008F32C6">
              <w:t>Any paper documents</w:t>
            </w:r>
            <w:r>
              <w:t xml:space="preserve"> with identifiable information</w:t>
            </w:r>
            <w:r w:rsidRPr="008F32C6">
              <w:t xml:space="preserve"> will </w:t>
            </w:r>
            <w:r w:rsidR="00D17822" w:rsidRPr="008F32C6">
              <w:t>be transferred</w:t>
            </w:r>
            <w:r w:rsidRPr="008F32C6">
              <w:t xml:space="preserve"> to an electronic record</w:t>
            </w:r>
            <w:r>
              <w:t xml:space="preserve"> </w:t>
            </w:r>
            <w:r w:rsidRPr="008F32C6">
              <w:t xml:space="preserve">and then shredded as confidential waste within </w:t>
            </w:r>
            <w:r w:rsidRPr="00A177A4">
              <w:t>three months.</w:t>
            </w:r>
            <w:r w:rsidRPr="008F32C6">
              <w:t xml:space="preserve"> Audio-recordings </w:t>
            </w:r>
            <w:r>
              <w:t xml:space="preserve">are potentially identifiable and </w:t>
            </w:r>
            <w:r w:rsidRPr="008F32C6">
              <w:t xml:space="preserve">will be transferred onto secure storage and the recording on the encrypted device destroyed </w:t>
            </w:r>
            <w:r>
              <w:t>as soon as is practicable</w:t>
            </w:r>
            <w:r w:rsidRPr="00191646">
              <w:t>. At the end of the research, anonymised electronic data will be kept securely for ten years and then will be destroyed as per Edinburgh Napier University guidance on the safe disposal of confidential waste.</w:t>
            </w:r>
            <w:r w:rsidRPr="008F32C6">
              <w:t xml:space="preserve">  All electronic files containing data will be deleted from the secure university server where the data is held.</w:t>
            </w:r>
          </w:p>
        </w:tc>
      </w:tr>
      <w:tr w:rsidR="00C2652E" w:rsidRPr="008F32C6" w14:paraId="729A45F4" w14:textId="77777777" w:rsidTr="00C2652E">
        <w:trPr>
          <w:trHeight w:val="826"/>
        </w:trPr>
        <w:tc>
          <w:tcPr>
            <w:tcW w:w="2684" w:type="dxa"/>
          </w:tcPr>
          <w:p w14:paraId="5C8A75C5" w14:textId="77777777" w:rsidR="00C2652E" w:rsidRPr="008F32C6" w:rsidRDefault="00C2652E" w:rsidP="00546E35">
            <w:pPr>
              <w:autoSpaceDE w:val="0"/>
              <w:autoSpaceDN w:val="0"/>
              <w:adjustRightInd w:val="0"/>
              <w:rPr>
                <w:b/>
              </w:rPr>
            </w:pPr>
            <w:r w:rsidRPr="008F32C6">
              <w:rPr>
                <w:b/>
              </w:rPr>
              <w:t>Will the data be used for any automated decision making</w:t>
            </w:r>
          </w:p>
        </w:tc>
        <w:tc>
          <w:tcPr>
            <w:tcW w:w="7167" w:type="dxa"/>
          </w:tcPr>
          <w:p w14:paraId="46D4F3D0" w14:textId="77777777" w:rsidR="00C2652E" w:rsidRPr="008F32C6" w:rsidRDefault="00C2652E" w:rsidP="00546E35">
            <w:pPr>
              <w:autoSpaceDE w:val="0"/>
              <w:autoSpaceDN w:val="0"/>
              <w:adjustRightInd w:val="0"/>
            </w:pPr>
            <w:r w:rsidRPr="008F32C6">
              <w:t>No</w:t>
            </w:r>
          </w:p>
        </w:tc>
      </w:tr>
      <w:tr w:rsidR="00C2652E" w:rsidRPr="008F32C6" w14:paraId="7361C60D" w14:textId="77777777" w:rsidTr="00C2652E">
        <w:trPr>
          <w:trHeight w:val="1928"/>
        </w:trPr>
        <w:tc>
          <w:tcPr>
            <w:tcW w:w="2684" w:type="dxa"/>
          </w:tcPr>
          <w:p w14:paraId="237AA837" w14:textId="77777777" w:rsidR="00C2652E" w:rsidRPr="008F32C6" w:rsidRDefault="00C2652E" w:rsidP="00546E35">
            <w:pPr>
              <w:autoSpaceDE w:val="0"/>
              <w:autoSpaceDN w:val="0"/>
              <w:adjustRightInd w:val="0"/>
              <w:rPr>
                <w:b/>
              </w:rPr>
            </w:pPr>
            <w:r w:rsidRPr="008F32C6">
              <w:rPr>
                <w:b/>
              </w:rPr>
              <w:t>Is information transferred to a</w:t>
            </w:r>
          </w:p>
          <w:p w14:paraId="33940226" w14:textId="77777777" w:rsidR="00C2652E" w:rsidRPr="008F32C6" w:rsidRDefault="00C2652E" w:rsidP="00546E35">
            <w:pPr>
              <w:autoSpaceDE w:val="0"/>
              <w:autoSpaceDN w:val="0"/>
              <w:adjustRightInd w:val="0"/>
              <w:rPr>
                <w:b/>
              </w:rPr>
            </w:pPr>
            <w:r w:rsidRPr="008F32C6">
              <w:rPr>
                <w:b/>
              </w:rPr>
              <w:t>third country? Outside the EEA and not included in the adequate countries list.</w:t>
            </w:r>
          </w:p>
        </w:tc>
        <w:tc>
          <w:tcPr>
            <w:tcW w:w="7167" w:type="dxa"/>
          </w:tcPr>
          <w:p w14:paraId="5023402C" w14:textId="77777777" w:rsidR="00C2652E" w:rsidRPr="008F32C6" w:rsidRDefault="00C2652E" w:rsidP="00546E35">
            <w:pPr>
              <w:autoSpaceDE w:val="0"/>
              <w:autoSpaceDN w:val="0"/>
              <w:adjustRightInd w:val="0"/>
            </w:pPr>
            <w:r w:rsidRPr="008F32C6">
              <w:t>No</w:t>
            </w:r>
          </w:p>
        </w:tc>
      </w:tr>
      <w:tr w:rsidR="00C2652E" w:rsidRPr="008F32C6" w14:paraId="258E088E" w14:textId="77777777" w:rsidTr="00C2652E">
        <w:trPr>
          <w:trHeight w:val="1083"/>
        </w:trPr>
        <w:tc>
          <w:tcPr>
            <w:tcW w:w="9851" w:type="dxa"/>
            <w:gridSpan w:val="2"/>
          </w:tcPr>
          <w:p w14:paraId="54EAFEB6" w14:textId="77777777" w:rsidR="00C2652E" w:rsidRPr="00FA6196" w:rsidRDefault="00C2652E" w:rsidP="00C2652E">
            <w:pPr>
              <w:rPr>
                <w:rFonts w:eastAsia="Calibri"/>
              </w:rPr>
            </w:pPr>
            <w:r w:rsidRPr="00FA6196">
              <w:rPr>
                <w:rFonts w:eastAsia="Calibri"/>
              </w:rPr>
              <w:lastRenderedPageBreak/>
              <w:t>Information on subject rights and data protection queries:</w:t>
            </w:r>
          </w:p>
          <w:p w14:paraId="4B3AB066" w14:textId="563A5EC3" w:rsidR="00C2652E" w:rsidRPr="008F32C6" w:rsidRDefault="003B216E" w:rsidP="00C2652E">
            <w:pPr>
              <w:autoSpaceDE w:val="0"/>
              <w:autoSpaceDN w:val="0"/>
              <w:adjustRightInd w:val="0"/>
            </w:pPr>
            <w:hyperlink r:id="rId11" w:history="1">
              <w:r w:rsidR="00C2652E" w:rsidRPr="00FA6196">
                <w:rPr>
                  <w:rFonts w:eastAsia="Calibri"/>
                  <w:color w:val="0563C1"/>
                  <w:u w:val="single"/>
                </w:rPr>
                <w:t>https://staff.napier.ac.uk/services/governance-compliance/governance/DataProtection/Pages/DPPrinciples.aspx</w:t>
              </w:r>
            </w:hyperlink>
          </w:p>
        </w:tc>
      </w:tr>
    </w:tbl>
    <w:p w14:paraId="649CA2C0" w14:textId="4AA57D16" w:rsidR="003306FB" w:rsidRDefault="003306FB" w:rsidP="00843AF4">
      <w:pPr>
        <w:spacing w:after="0" w:line="240" w:lineRule="auto"/>
        <w:rPr>
          <w:rFonts w:ascii="Arial" w:eastAsia="Calibri" w:hAnsi="Arial" w:cs="Arial"/>
        </w:rPr>
      </w:pPr>
    </w:p>
    <w:p w14:paraId="2B43F8B5" w14:textId="77777777" w:rsidR="00843AF4" w:rsidRPr="00FA6196" w:rsidRDefault="00843AF4" w:rsidP="00843AF4">
      <w:pPr>
        <w:spacing w:after="0" w:line="240" w:lineRule="auto"/>
        <w:rPr>
          <w:rFonts w:ascii="Arial" w:eastAsia="Calibri" w:hAnsi="Arial" w:cs="Arial"/>
        </w:rPr>
      </w:pPr>
    </w:p>
    <w:p w14:paraId="69A8F15F" w14:textId="77777777" w:rsidR="00843AF4" w:rsidRPr="003410C2" w:rsidRDefault="00843AF4" w:rsidP="00843AF4">
      <w:pPr>
        <w:rPr>
          <w:rFonts w:ascii="Arial" w:hAnsi="Arial" w:cs="Arial"/>
        </w:rPr>
      </w:pPr>
    </w:p>
    <w:p w14:paraId="1140BD81" w14:textId="77777777" w:rsidR="00C665E3" w:rsidRPr="00C665E3" w:rsidRDefault="00C665E3">
      <w:pPr>
        <w:rPr>
          <w:rFonts w:ascii="Arial" w:hAnsi="Arial" w:cs="Arial"/>
        </w:rPr>
      </w:pPr>
    </w:p>
    <w:sectPr w:rsidR="00C665E3" w:rsidRPr="00C665E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9CFD" w14:textId="77777777" w:rsidR="00C2547D" w:rsidRDefault="00C2547D" w:rsidP="00C665E3">
      <w:pPr>
        <w:spacing w:after="0" w:line="240" w:lineRule="auto"/>
      </w:pPr>
      <w:r>
        <w:separator/>
      </w:r>
    </w:p>
  </w:endnote>
  <w:endnote w:type="continuationSeparator" w:id="0">
    <w:p w14:paraId="0BD5C2F1" w14:textId="77777777" w:rsidR="00C2547D" w:rsidRDefault="00C2547D" w:rsidP="00C6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8270" w14:textId="77777777" w:rsidR="00C2547D" w:rsidRDefault="00C2547D" w:rsidP="00C665E3">
      <w:pPr>
        <w:spacing w:after="0" w:line="240" w:lineRule="auto"/>
      </w:pPr>
      <w:r>
        <w:separator/>
      </w:r>
    </w:p>
  </w:footnote>
  <w:footnote w:type="continuationSeparator" w:id="0">
    <w:p w14:paraId="703DA398" w14:textId="77777777" w:rsidR="00C2547D" w:rsidRDefault="00C2547D" w:rsidP="00C66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6A7F" w14:textId="1DC17D81" w:rsidR="00B51EB3" w:rsidRDefault="00ED6CC5">
    <w:pPr>
      <w:pStyle w:val="Header"/>
    </w:pPr>
    <w:r>
      <w:t>Privacy Notice</w:t>
    </w:r>
    <w:r w:rsidR="005E4101">
      <w:t xml:space="preserve"> V3 160523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03F25"/>
    <w:multiLevelType w:val="hybridMultilevel"/>
    <w:tmpl w:val="563C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1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E3"/>
    <w:rsid w:val="000635B0"/>
    <w:rsid w:val="00064B90"/>
    <w:rsid w:val="000A2AB2"/>
    <w:rsid w:val="000C09C5"/>
    <w:rsid w:val="00115C07"/>
    <w:rsid w:val="001348EE"/>
    <w:rsid w:val="0014757D"/>
    <w:rsid w:val="001524E8"/>
    <w:rsid w:val="00182A90"/>
    <w:rsid w:val="00191646"/>
    <w:rsid w:val="001940D7"/>
    <w:rsid w:val="001C02C7"/>
    <w:rsid w:val="001E2639"/>
    <w:rsid w:val="00217849"/>
    <w:rsid w:val="00227CB2"/>
    <w:rsid w:val="002467B7"/>
    <w:rsid w:val="00257C7A"/>
    <w:rsid w:val="00275BF7"/>
    <w:rsid w:val="00284BFD"/>
    <w:rsid w:val="002C1BCC"/>
    <w:rsid w:val="002E3577"/>
    <w:rsid w:val="002F1965"/>
    <w:rsid w:val="002F590E"/>
    <w:rsid w:val="003306FB"/>
    <w:rsid w:val="00355955"/>
    <w:rsid w:val="003B216E"/>
    <w:rsid w:val="0044111C"/>
    <w:rsid w:val="004C09AF"/>
    <w:rsid w:val="005845DA"/>
    <w:rsid w:val="005967C8"/>
    <w:rsid w:val="005B07CA"/>
    <w:rsid w:val="005E4101"/>
    <w:rsid w:val="00675C90"/>
    <w:rsid w:val="006A0E9E"/>
    <w:rsid w:val="006D6158"/>
    <w:rsid w:val="0070118A"/>
    <w:rsid w:val="00706488"/>
    <w:rsid w:val="00714B81"/>
    <w:rsid w:val="007349EF"/>
    <w:rsid w:val="00741218"/>
    <w:rsid w:val="00755110"/>
    <w:rsid w:val="007816EE"/>
    <w:rsid w:val="007B3E93"/>
    <w:rsid w:val="007E3BE6"/>
    <w:rsid w:val="007F7A06"/>
    <w:rsid w:val="00813263"/>
    <w:rsid w:val="00814C52"/>
    <w:rsid w:val="0082194E"/>
    <w:rsid w:val="008262BD"/>
    <w:rsid w:val="00833D03"/>
    <w:rsid w:val="008349DD"/>
    <w:rsid w:val="00843AF4"/>
    <w:rsid w:val="00867BD5"/>
    <w:rsid w:val="0090011B"/>
    <w:rsid w:val="0090392D"/>
    <w:rsid w:val="00935B8A"/>
    <w:rsid w:val="009364AA"/>
    <w:rsid w:val="00954F46"/>
    <w:rsid w:val="009608ED"/>
    <w:rsid w:val="009A32FD"/>
    <w:rsid w:val="009B0581"/>
    <w:rsid w:val="009E3BC3"/>
    <w:rsid w:val="00A177A4"/>
    <w:rsid w:val="00A4602C"/>
    <w:rsid w:val="00A91249"/>
    <w:rsid w:val="00A9498C"/>
    <w:rsid w:val="00AA31CB"/>
    <w:rsid w:val="00AB4D87"/>
    <w:rsid w:val="00AD1BC9"/>
    <w:rsid w:val="00AD77F2"/>
    <w:rsid w:val="00B17071"/>
    <w:rsid w:val="00B365EC"/>
    <w:rsid w:val="00B51EB3"/>
    <w:rsid w:val="00BB531D"/>
    <w:rsid w:val="00BB6918"/>
    <w:rsid w:val="00C05865"/>
    <w:rsid w:val="00C2547D"/>
    <w:rsid w:val="00C2652E"/>
    <w:rsid w:val="00C344F4"/>
    <w:rsid w:val="00C665E3"/>
    <w:rsid w:val="00C66C33"/>
    <w:rsid w:val="00C8468A"/>
    <w:rsid w:val="00CA50E4"/>
    <w:rsid w:val="00CB4D05"/>
    <w:rsid w:val="00CF0888"/>
    <w:rsid w:val="00CF51E7"/>
    <w:rsid w:val="00CF7205"/>
    <w:rsid w:val="00D17822"/>
    <w:rsid w:val="00D75CA3"/>
    <w:rsid w:val="00D95237"/>
    <w:rsid w:val="00D9701B"/>
    <w:rsid w:val="00DE1A6E"/>
    <w:rsid w:val="00DF3DFB"/>
    <w:rsid w:val="00E01CE3"/>
    <w:rsid w:val="00E04A11"/>
    <w:rsid w:val="00E13681"/>
    <w:rsid w:val="00E33E8C"/>
    <w:rsid w:val="00E43476"/>
    <w:rsid w:val="00E522B7"/>
    <w:rsid w:val="00E6038E"/>
    <w:rsid w:val="00E60F1C"/>
    <w:rsid w:val="00E85760"/>
    <w:rsid w:val="00EA4C7C"/>
    <w:rsid w:val="00ED1796"/>
    <w:rsid w:val="00ED6CC5"/>
    <w:rsid w:val="00EE74BD"/>
    <w:rsid w:val="00EF66C8"/>
    <w:rsid w:val="00F81B63"/>
    <w:rsid w:val="00F83BE9"/>
    <w:rsid w:val="00FB2CD4"/>
    <w:rsid w:val="00FB78BA"/>
    <w:rsid w:val="00FD4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AA80"/>
  <w15:chartTrackingRefBased/>
  <w15:docId w15:val="{AC64E257-4D63-4371-84AA-913AE98F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E3"/>
  </w:style>
  <w:style w:type="paragraph" w:styleId="Footer">
    <w:name w:val="footer"/>
    <w:basedOn w:val="Normal"/>
    <w:link w:val="FooterChar"/>
    <w:uiPriority w:val="99"/>
    <w:unhideWhenUsed/>
    <w:rsid w:val="00C66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E3"/>
  </w:style>
  <w:style w:type="table" w:styleId="TableGrid">
    <w:name w:val="Table Grid"/>
    <w:basedOn w:val="TableNormal"/>
    <w:uiPriority w:val="39"/>
    <w:rsid w:val="00843AF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1796"/>
    <w:rPr>
      <w:sz w:val="16"/>
      <w:szCs w:val="16"/>
    </w:rPr>
  </w:style>
  <w:style w:type="paragraph" w:styleId="CommentText">
    <w:name w:val="annotation text"/>
    <w:basedOn w:val="Normal"/>
    <w:link w:val="CommentTextChar"/>
    <w:uiPriority w:val="99"/>
    <w:semiHidden/>
    <w:unhideWhenUsed/>
    <w:rsid w:val="00ED1796"/>
    <w:pPr>
      <w:spacing w:line="240" w:lineRule="auto"/>
    </w:pPr>
    <w:rPr>
      <w:sz w:val="20"/>
      <w:szCs w:val="20"/>
    </w:rPr>
  </w:style>
  <w:style w:type="character" w:customStyle="1" w:styleId="CommentTextChar">
    <w:name w:val="Comment Text Char"/>
    <w:basedOn w:val="DefaultParagraphFont"/>
    <w:link w:val="CommentText"/>
    <w:uiPriority w:val="99"/>
    <w:semiHidden/>
    <w:rsid w:val="00ED1796"/>
    <w:rPr>
      <w:sz w:val="20"/>
      <w:szCs w:val="20"/>
    </w:rPr>
  </w:style>
  <w:style w:type="paragraph" w:styleId="CommentSubject">
    <w:name w:val="annotation subject"/>
    <w:basedOn w:val="CommentText"/>
    <w:next w:val="CommentText"/>
    <w:link w:val="CommentSubjectChar"/>
    <w:uiPriority w:val="99"/>
    <w:semiHidden/>
    <w:unhideWhenUsed/>
    <w:rsid w:val="00ED1796"/>
    <w:rPr>
      <w:b/>
      <w:bCs/>
    </w:rPr>
  </w:style>
  <w:style w:type="character" w:customStyle="1" w:styleId="CommentSubjectChar">
    <w:name w:val="Comment Subject Char"/>
    <w:basedOn w:val="CommentTextChar"/>
    <w:link w:val="CommentSubject"/>
    <w:uiPriority w:val="99"/>
    <w:semiHidden/>
    <w:rsid w:val="00ED1796"/>
    <w:rPr>
      <w:b/>
      <w:bCs/>
      <w:sz w:val="20"/>
      <w:szCs w:val="20"/>
    </w:rPr>
  </w:style>
  <w:style w:type="paragraph" w:styleId="BalloonText">
    <w:name w:val="Balloon Text"/>
    <w:basedOn w:val="Normal"/>
    <w:link w:val="BalloonTextChar"/>
    <w:uiPriority w:val="99"/>
    <w:semiHidden/>
    <w:unhideWhenUsed/>
    <w:rsid w:val="00ED1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796"/>
    <w:rPr>
      <w:rFonts w:ascii="Segoe UI" w:hAnsi="Segoe UI" w:cs="Segoe UI"/>
      <w:sz w:val="18"/>
      <w:szCs w:val="18"/>
    </w:rPr>
  </w:style>
  <w:style w:type="paragraph" w:styleId="NormalWeb">
    <w:name w:val="Normal (Web)"/>
    <w:basedOn w:val="Normal"/>
    <w:uiPriority w:val="99"/>
    <w:unhideWhenUsed/>
    <w:rsid w:val="00C26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652E"/>
  </w:style>
  <w:style w:type="paragraph" w:customStyle="1" w:styleId="xmsonormal">
    <w:name w:val="x_msonormal"/>
    <w:basedOn w:val="Normal"/>
    <w:rsid w:val="00C265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6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napier.ac.uk/services/governance-compliance/governance/DataProtection/Pages/DPPrinciples.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8DC777839B84AA78BE34820D6106B" ma:contentTypeVersion="4" ma:contentTypeDescription="Create a new document." ma:contentTypeScope="" ma:versionID="433e374e9c09030620f4c7b584fd9dcb">
  <xsd:schema xmlns:xsd="http://www.w3.org/2001/XMLSchema" xmlns:xs="http://www.w3.org/2001/XMLSchema" xmlns:p="http://schemas.microsoft.com/office/2006/metadata/properties" xmlns:ns3="e77d71de-ed03-4187-81e7-c51d7bba4b52" targetNamespace="http://schemas.microsoft.com/office/2006/metadata/properties" ma:root="true" ma:fieldsID="fd8f2f23ccbfbd1e94f2663d8dcfeebb" ns3:_="">
    <xsd:import namespace="e77d71de-ed03-4187-81e7-c51d7bba4b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d71de-ed03-4187-81e7-c51d7bba4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31B29-41B5-4DA3-AE66-497AA39CE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57783-D3BB-4099-95E2-FF85AA533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d71de-ed03-4187-81e7-c51d7bba4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FD43D-1AC9-424F-BE74-8D500BE83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Sheona</dc:creator>
  <cp:keywords/>
  <dc:description/>
  <cp:lastModifiedBy>Fennell, Kate</cp:lastModifiedBy>
  <cp:revision>2</cp:revision>
  <cp:lastPrinted>2023-05-16T13:47:00Z</cp:lastPrinted>
  <dcterms:created xsi:type="dcterms:W3CDTF">2023-05-29T09:47:00Z</dcterms:created>
  <dcterms:modified xsi:type="dcterms:W3CDTF">2023-05-29T09:47:00Z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0x010100A478DC777839B84AA78BE34820D6106B</vt:lpwstr>
  </property>
</Properties>
</file>